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01" w:rsidRPr="00076A01" w:rsidRDefault="00076A01" w:rsidP="00076A01">
      <w:pPr>
        <w:rPr>
          <w:rFonts w:ascii="Times New Roman" w:hAnsi="Times New Roman" w:cs="Times New Roman"/>
          <w:b/>
          <w:sz w:val="28"/>
          <w:szCs w:val="28"/>
        </w:rPr>
      </w:pPr>
      <w:r w:rsidRPr="00076A01">
        <w:rPr>
          <w:rFonts w:ascii="Times New Roman" w:hAnsi="Times New Roman" w:cs="Times New Roman"/>
          <w:b/>
          <w:sz w:val="28"/>
          <w:szCs w:val="28"/>
        </w:rPr>
        <w:t>The ICTY Loses its Way on Complicity – Part 1</w:t>
      </w:r>
    </w:p>
    <w:p w:rsidR="00076A01" w:rsidRPr="00076A01" w:rsidRDefault="00076A01" w:rsidP="00076A01">
      <w:pPr>
        <w:pStyle w:val="authordate"/>
        <w:rPr>
          <w:b/>
        </w:rPr>
      </w:pPr>
      <w:r w:rsidRPr="00076A01">
        <w:rPr>
          <w:b/>
        </w:rPr>
        <w:t>By</w:t>
      </w:r>
      <w:r w:rsidRPr="00076A01">
        <w:rPr>
          <w:rStyle w:val="authname"/>
          <w:b/>
        </w:rPr>
        <w:t xml:space="preserve"> James G. Stewart</w:t>
      </w:r>
      <w:r w:rsidRPr="00076A01">
        <w:rPr>
          <w:b/>
        </w:rPr>
        <w:t xml:space="preserve"> </w:t>
      </w:r>
    </w:p>
    <w:p w:rsidR="00076A01" w:rsidRPr="00076A01" w:rsidRDefault="00076A01" w:rsidP="00076A01">
      <w:pPr>
        <w:pStyle w:val="NormalWeb"/>
      </w:pPr>
      <w:r w:rsidRPr="00076A01">
        <w:rPr>
          <w:rStyle w:val="Emphasis"/>
        </w:rPr>
        <w:t>[</w:t>
      </w:r>
      <w:hyperlink r:id="rId4" w:history="1">
        <w:r w:rsidRPr="00076A01">
          <w:rPr>
            <w:rStyle w:val="Hyperlink"/>
            <w:i/>
            <w:iCs/>
          </w:rPr>
          <w:t>James G. Stewart</w:t>
        </w:r>
      </w:hyperlink>
      <w:r w:rsidRPr="00076A01">
        <w:rPr>
          <w:rStyle w:val="Emphasis"/>
        </w:rPr>
        <w:t xml:space="preserve"> is an Assistant Professor at the University of British Columbia. He is also presently a Global Hauser Fellow at New York University School of Law.]</w:t>
      </w:r>
    </w:p>
    <w:p w:rsidR="00076A01" w:rsidRPr="00076A01" w:rsidRDefault="00076A01" w:rsidP="00076A01">
      <w:pPr>
        <w:pStyle w:val="NormalWeb"/>
      </w:pPr>
      <w:r w:rsidRPr="00076A01">
        <w:t xml:space="preserve">The International Criminal Tribunal for the former Yugoslavia (ICTY) is undoubtedly one of the most important institutions in the history of international law, not only for its catalytic effect in generating trials for international crimes before both international and domestic courts but also for breathing new life into both international humanitarian and criminal law. Yet, the ICTY Appeals Chamber recently rendered a judgment on the law of complicity in Prosecutor v </w:t>
      </w:r>
      <w:proofErr w:type="spellStart"/>
      <w:r w:rsidRPr="00076A01">
        <w:t>Momčilo</w:t>
      </w:r>
      <w:proofErr w:type="spellEnd"/>
      <w:r w:rsidRPr="00076A01">
        <w:t xml:space="preserve"> </w:t>
      </w:r>
      <w:proofErr w:type="spellStart"/>
      <w:r w:rsidRPr="00076A01">
        <w:t>Perišić</w:t>
      </w:r>
      <w:proofErr w:type="spellEnd"/>
      <w:r w:rsidRPr="00076A01">
        <w:t xml:space="preserve"> (see </w:t>
      </w:r>
      <w:hyperlink r:id="rId5" w:history="1">
        <w:r w:rsidRPr="00076A01">
          <w:rPr>
            <w:rStyle w:val="Hyperlink"/>
          </w:rPr>
          <w:t>here</w:t>
        </w:r>
      </w:hyperlink>
      <w:r w:rsidRPr="00076A01">
        <w:t xml:space="preserve">), that could undo much of its legacy. In this first of two posts, I will set out the background to this case and consider the problem of “specific direction” as an element of the </w:t>
      </w:r>
      <w:proofErr w:type="spellStart"/>
      <w:r w:rsidRPr="00076A01">
        <w:t>actus</w:t>
      </w:r>
      <w:proofErr w:type="spellEnd"/>
      <w:r w:rsidRPr="00076A01">
        <w:t xml:space="preserve"> </w:t>
      </w:r>
      <w:proofErr w:type="spellStart"/>
      <w:proofErr w:type="gramStart"/>
      <w:r w:rsidRPr="00076A01">
        <w:t>reus</w:t>
      </w:r>
      <w:proofErr w:type="spellEnd"/>
      <w:proofErr w:type="gramEnd"/>
      <w:r w:rsidRPr="00076A01">
        <w:t xml:space="preserve">, which the Appeals Chamber has newly adopted. In a second post, I will focus on the mental element of complicity, showing how a more traditional approach to </w:t>
      </w:r>
      <w:proofErr w:type="spellStart"/>
      <w:r w:rsidRPr="00076A01">
        <w:t>mens</w:t>
      </w:r>
      <w:proofErr w:type="spellEnd"/>
      <w:r w:rsidRPr="00076A01">
        <w:t xml:space="preserve"> </w:t>
      </w:r>
      <w:proofErr w:type="spellStart"/>
      <w:r w:rsidRPr="00076A01">
        <w:t>rea</w:t>
      </w:r>
      <w:proofErr w:type="spellEnd"/>
      <w:r w:rsidRPr="00076A01">
        <w:t xml:space="preserve"> can address the underlying concerns without so seriously disrupting the law of complicity.</w:t>
      </w:r>
    </w:p>
    <w:p w:rsidR="00076A01" w:rsidRPr="00076A01" w:rsidRDefault="00076A01" w:rsidP="00076A01">
      <w:pPr>
        <w:pStyle w:val="NormalWeb"/>
      </w:pPr>
      <w:r w:rsidRPr="00076A01">
        <w:t xml:space="preserve">Two weeks ago, I attended a roundtable dedicated to the law of complicity at the University of San Diego. Over the course of two days, a dozen of the best criminal theorists in the English-speaking world came together to debate four competing accounts of complicity. On the flight home, however, I was more than slightly surprised to learn that the ICTY had just announced a new understanding of the doctrine that is without equivalent in any national law, very different from the Tribunal’s earlier jurisprudence and at odds with the views of all experts congregated at the roundtable I had just attended. Indeed, the new understanding of complicity that the ICTY adopts in </w:t>
      </w:r>
      <w:proofErr w:type="spellStart"/>
      <w:r w:rsidRPr="00076A01">
        <w:t>Perišić</w:t>
      </w:r>
      <w:proofErr w:type="spellEnd"/>
      <w:r w:rsidRPr="00076A01">
        <w:t xml:space="preserve"> appears inconsistent with foundational principles of criminal law in ways that seriously compromise the doctrine. Below, I explain why this new position is so </w:t>
      </w:r>
      <w:proofErr w:type="gramStart"/>
      <w:r w:rsidRPr="00076A01">
        <w:t>troublesome,</w:t>
      </w:r>
      <w:proofErr w:type="gramEnd"/>
      <w:r w:rsidRPr="00076A01">
        <w:t xml:space="preserve"> before I go on to suggest a safer path the Appeals Chamber could have followed.</w:t>
      </w:r>
    </w:p>
    <w:p w:rsidR="00076A01" w:rsidRPr="00076A01" w:rsidRDefault="00076A01" w:rsidP="00076A01">
      <w:pPr>
        <w:pStyle w:val="NormalWeb"/>
      </w:pPr>
      <w:proofErr w:type="spellStart"/>
      <w:r w:rsidRPr="00076A01">
        <w:t>Momčilo</w:t>
      </w:r>
      <w:proofErr w:type="spellEnd"/>
      <w:r w:rsidRPr="00076A01">
        <w:t xml:space="preserve"> </w:t>
      </w:r>
      <w:proofErr w:type="spellStart"/>
      <w:r w:rsidRPr="00076A01">
        <w:t>Perišić</w:t>
      </w:r>
      <w:proofErr w:type="spellEnd"/>
      <w:r w:rsidRPr="00076A01">
        <w:t xml:space="preserve"> was the Chief of the General Staff of the Yugoslav Army (VJ), making him the highest ranking officer in that army. Between August 1993 and November 1995, he provided extensive military and logistical aid to the Army of </w:t>
      </w:r>
      <w:proofErr w:type="spellStart"/>
      <w:r w:rsidRPr="00076A01">
        <w:t>Republika</w:t>
      </w:r>
      <w:proofErr w:type="spellEnd"/>
      <w:r w:rsidRPr="00076A01">
        <w:t xml:space="preserve"> </w:t>
      </w:r>
      <w:proofErr w:type="spellStart"/>
      <w:r w:rsidRPr="00076A01">
        <w:t>Srpska</w:t>
      </w:r>
      <w:proofErr w:type="spellEnd"/>
      <w:r w:rsidRPr="00076A01">
        <w:t xml:space="preserve"> (VRS), lead by the infamous Radovan </w:t>
      </w:r>
      <w:proofErr w:type="spellStart"/>
      <w:r w:rsidRPr="00076A01">
        <w:t>Karadžić</w:t>
      </w:r>
      <w:proofErr w:type="spellEnd"/>
      <w:r w:rsidRPr="00076A01">
        <w:t xml:space="preserve"> and </w:t>
      </w:r>
      <w:proofErr w:type="spellStart"/>
      <w:r w:rsidRPr="00076A01">
        <w:t>Ratko</w:t>
      </w:r>
      <w:proofErr w:type="spellEnd"/>
      <w:r w:rsidRPr="00076A01">
        <w:t xml:space="preserve"> </w:t>
      </w:r>
      <w:proofErr w:type="spellStart"/>
      <w:r w:rsidRPr="00076A01">
        <w:t>Mladić</w:t>
      </w:r>
      <w:proofErr w:type="spellEnd"/>
      <w:r w:rsidRPr="00076A01">
        <w:t xml:space="preserve">. At trial, </w:t>
      </w:r>
      <w:proofErr w:type="spellStart"/>
      <w:r w:rsidRPr="00076A01">
        <w:t>Perišić</w:t>
      </w:r>
      <w:proofErr w:type="spellEnd"/>
      <w:r w:rsidRPr="00076A01">
        <w:t xml:space="preserve"> was convicted of aiding and abetting international crimes perpetrated by the VRS, most notably for crimes associated with the sniping campaign used to terrorize civilians within Sarajevo and for the terrible bloodletting at Srebrenica. </w:t>
      </w:r>
      <w:proofErr w:type="spellStart"/>
      <w:r w:rsidRPr="00076A01">
        <w:t>Perišić</w:t>
      </w:r>
      <w:proofErr w:type="spellEnd"/>
      <w:r w:rsidRPr="00076A01">
        <w:t xml:space="preserve"> unquestionably provided the VRS with large quantities of weapons, seconded officers involved in these crimes to the VRS (</w:t>
      </w:r>
      <w:proofErr w:type="spellStart"/>
      <w:r w:rsidRPr="00076A01">
        <w:t>Mladić</w:t>
      </w:r>
      <w:proofErr w:type="spellEnd"/>
      <w:r w:rsidRPr="00076A01">
        <w:t xml:space="preserve"> included), and supported the VRS in a host of other ways. Was all this support innocuous assistance of a general type or criminal complicity in the international crimes undertaken by the VRS?</w:t>
      </w:r>
      <w:r w:rsidRPr="00076A01">
        <w:br/>
      </w:r>
      <w:r w:rsidRPr="00076A01">
        <w:br/>
        <w:t xml:space="preserve">The Appeals Chamber favored the former option, overturning the Trial Chamber’s conviction for aiding and abetting various international crimes, including persecution. In order to exclude general assistance from the scope of complicity, the Appeals Chamber announced that “specific direction” is now an element of the </w:t>
      </w:r>
      <w:proofErr w:type="spellStart"/>
      <w:r w:rsidRPr="00076A01">
        <w:rPr>
          <w:i/>
          <w:iCs/>
        </w:rPr>
        <w:t>actus</w:t>
      </w:r>
      <w:proofErr w:type="spellEnd"/>
      <w:r w:rsidRPr="00076A01">
        <w:rPr>
          <w:i/>
          <w:iCs/>
        </w:rPr>
        <w:t xml:space="preserve"> </w:t>
      </w:r>
      <w:proofErr w:type="spellStart"/>
      <w:r w:rsidRPr="00076A01">
        <w:rPr>
          <w:i/>
          <w:iCs/>
        </w:rPr>
        <w:t>reus</w:t>
      </w:r>
      <w:proofErr w:type="spellEnd"/>
      <w:r w:rsidRPr="00076A01">
        <w:t xml:space="preserve"> of aiding and abetting, implying that </w:t>
      </w:r>
      <w:proofErr w:type="spellStart"/>
      <w:r w:rsidRPr="00076A01">
        <w:t>Perišić’s</w:t>
      </w:r>
      <w:proofErr w:type="spellEnd"/>
      <w:r w:rsidRPr="00076A01">
        <w:t xml:space="preserve"> assistance for the VRS’s war effort must not just cause international crimes, it must be “specifically directed” towards this end. So even though the Trial Chamber had found that “the </w:t>
      </w:r>
      <w:r w:rsidRPr="00076A01">
        <w:lastRenderedPageBreak/>
        <w:t xml:space="preserve">VRS [waged] a war that encompassed systematic criminal actions against Bosnian Muslim civilians as a military strategy and objective,” (see </w:t>
      </w:r>
      <w:hyperlink r:id="rId6" w:history="1">
        <w:r w:rsidRPr="00076A01">
          <w:rPr>
            <w:rStyle w:val="Hyperlink"/>
          </w:rPr>
          <w:t>here</w:t>
        </w:r>
      </w:hyperlink>
      <w:r w:rsidRPr="00076A01">
        <w:t xml:space="preserve">, </w:t>
      </w:r>
      <w:proofErr w:type="spellStart"/>
      <w:r w:rsidRPr="00076A01">
        <w:t>para</w:t>
      </w:r>
      <w:proofErr w:type="spellEnd"/>
      <w:r w:rsidRPr="00076A01">
        <w:t xml:space="preserve">. 1621) the Appeals Chamber found that </w:t>
      </w:r>
      <w:proofErr w:type="spellStart"/>
      <w:r w:rsidRPr="00076A01">
        <w:t>Perišić’s</w:t>
      </w:r>
      <w:proofErr w:type="spellEnd"/>
      <w:r w:rsidRPr="00076A01">
        <w:t xml:space="preserve"> considerable assistance was not “specifically directed” towards the concrete crimes with which he was charged. Whatever one might think about this verdict, the law makes no sense.</w:t>
      </w:r>
    </w:p>
    <w:p w:rsidR="00076A01" w:rsidRPr="00076A01" w:rsidRDefault="00076A01" w:rsidP="00076A01">
      <w:pPr>
        <w:pStyle w:val="NormalWeb"/>
      </w:pPr>
      <w:r w:rsidRPr="00076A01">
        <w:t xml:space="preserve">To begin, “specific direction” has no real grounding in customary international law. In identifying the “specific direction” standard, the Chamber placed great weight on casual language in the </w:t>
      </w:r>
      <w:proofErr w:type="spellStart"/>
      <w:r w:rsidRPr="00076A01">
        <w:t>Tadić</w:t>
      </w:r>
      <w:proofErr w:type="spellEnd"/>
      <w:r w:rsidRPr="00076A01">
        <w:t xml:space="preserve"> Appeals Judgment, rendered many years ago. In that judgment, a differently constituted Appeals Chamber had opined that (</w:t>
      </w:r>
      <w:proofErr w:type="spellStart"/>
      <w:r w:rsidRPr="00076A01">
        <w:t>Tadić</w:t>
      </w:r>
      <w:proofErr w:type="spellEnd"/>
      <w:r w:rsidRPr="00076A01">
        <w:t xml:space="preserve"> Appeal Judgment, </w:t>
      </w:r>
      <w:proofErr w:type="spellStart"/>
      <w:r w:rsidRPr="00076A01">
        <w:t>para</w:t>
      </w:r>
      <w:proofErr w:type="spellEnd"/>
      <w:r w:rsidRPr="00076A01">
        <w:t>. 229, my emphasis):</w:t>
      </w:r>
    </w:p>
    <w:p w:rsidR="00076A01" w:rsidRPr="00076A01" w:rsidRDefault="00076A01" w:rsidP="00076A01">
      <w:pPr>
        <w:pStyle w:val="NormalWeb"/>
      </w:pPr>
      <w:r w:rsidRPr="00076A01">
        <w:t xml:space="preserve">“[t]he aider and abettor carries out acts </w:t>
      </w:r>
      <w:r w:rsidRPr="00076A01">
        <w:rPr>
          <w:rStyle w:val="Strong"/>
          <w:i/>
          <w:iCs/>
        </w:rPr>
        <w:t>specifically directed</w:t>
      </w:r>
      <w:r w:rsidRPr="00076A01">
        <w:t xml:space="preserve"> to assist, encourage or lend moral support to the perpetration of a certain specific crime (murder, extermination, rape, torture, wanton destruction of civilian property, etc.), and this support has a substantial effect upon the perpetration of the crime.”</w:t>
      </w:r>
    </w:p>
    <w:p w:rsidR="00076A01" w:rsidRPr="00076A01" w:rsidRDefault="00076A01" w:rsidP="00076A01">
      <w:pPr>
        <w:pStyle w:val="NormalWeb"/>
      </w:pPr>
      <w:r w:rsidRPr="00076A01">
        <w:t xml:space="preserve">While a number of international decisions have rote cited this passage since, none had ever given meaning to “specifically directed” in a methodologically serious manner. The Appeals Chamber’s recent judgment gives the impression that the wording enjoyed a long pedigree in practice, but none of this history stems from sources prior to </w:t>
      </w:r>
      <w:proofErr w:type="spellStart"/>
      <w:r w:rsidRPr="00076A01">
        <w:t>Tadić</w:t>
      </w:r>
      <w:proofErr w:type="spellEnd"/>
      <w:r w:rsidRPr="00076A01">
        <w:t xml:space="preserve"> and few of the international tribunals that make passing mention of the concept ever treat the phrase as an element to be proved.</w:t>
      </w:r>
    </w:p>
    <w:p w:rsidR="00076A01" w:rsidRPr="00076A01" w:rsidRDefault="00076A01" w:rsidP="00076A01">
      <w:pPr>
        <w:pStyle w:val="NormalWeb"/>
      </w:pPr>
      <w:r w:rsidRPr="00076A01">
        <w:t xml:space="preserve">This shaky foundation is not altogether surprising—no previous understanding of complicity ever included a requirement of this type. In my earlier research on complicity (see </w:t>
      </w:r>
      <w:hyperlink r:id="rId7" w:history="1">
        <w:r w:rsidRPr="00076A01">
          <w:rPr>
            <w:rStyle w:val="Hyperlink"/>
          </w:rPr>
          <w:t>here</w:t>
        </w:r>
      </w:hyperlink>
      <w:r w:rsidRPr="00076A01">
        <w:t xml:space="preserve">), I showed how international courts and tribunals frequently borrow their understandings from domestic criminal systems. Complicity is no exception to this rule; the international understanding of complicity was heavily influenced by German, English and French equivalents. However, in each of these contexts, national legal systems do not use anything remotely similar to “specifically directed” to limit the </w:t>
      </w:r>
      <w:proofErr w:type="spellStart"/>
      <w:r w:rsidRPr="00076A01">
        <w:t>actus</w:t>
      </w:r>
      <w:proofErr w:type="spellEnd"/>
      <w:r w:rsidRPr="00076A01">
        <w:t xml:space="preserve"> </w:t>
      </w:r>
      <w:proofErr w:type="spellStart"/>
      <w:proofErr w:type="gramStart"/>
      <w:r w:rsidRPr="00076A01">
        <w:t>reus</w:t>
      </w:r>
      <w:proofErr w:type="spellEnd"/>
      <w:proofErr w:type="gramEnd"/>
      <w:r w:rsidRPr="00076A01">
        <w:t xml:space="preserve"> of complicity. Instead, causation and an accompanying auxiliary concept (called legal causation, remoteness or </w:t>
      </w:r>
      <w:proofErr w:type="spellStart"/>
      <w:r w:rsidRPr="00076A01">
        <w:rPr>
          <w:i/>
          <w:iCs/>
        </w:rPr>
        <w:t>objektive</w:t>
      </w:r>
      <w:proofErr w:type="spellEnd"/>
      <w:r w:rsidRPr="00076A01">
        <w:rPr>
          <w:i/>
          <w:iCs/>
        </w:rPr>
        <w:t xml:space="preserve"> </w:t>
      </w:r>
      <w:proofErr w:type="spellStart"/>
      <w:r w:rsidRPr="00076A01">
        <w:rPr>
          <w:i/>
          <w:iCs/>
        </w:rPr>
        <w:t>Zurechnung</w:t>
      </w:r>
      <w:proofErr w:type="spellEnd"/>
      <w:r w:rsidRPr="00076A01">
        <w:rPr>
          <w:i/>
          <w:iCs/>
        </w:rPr>
        <w:t xml:space="preserve"> </w:t>
      </w:r>
      <w:r w:rsidRPr="00076A01">
        <w:t xml:space="preserve">in different jurisdictions), usually performs this work (see </w:t>
      </w:r>
      <w:hyperlink r:id="rId8" w:history="1">
        <w:r w:rsidRPr="00076A01">
          <w:rPr>
            <w:rStyle w:val="Hyperlink"/>
          </w:rPr>
          <w:t>here</w:t>
        </w:r>
      </w:hyperlink>
      <w:r w:rsidRPr="00076A01">
        <w:t>, p. 19). Thus, the ICTY’s new requirement for complicity stands alone in a sea of inconsistent state practice as one of a kind. It cannot, therefore, reflect customary international law.</w:t>
      </w:r>
    </w:p>
    <w:p w:rsidR="00076A01" w:rsidRPr="00076A01" w:rsidRDefault="00076A01" w:rsidP="00076A01">
      <w:pPr>
        <w:pStyle w:val="NormalWeb"/>
      </w:pPr>
      <w:r w:rsidRPr="00076A01">
        <w:t xml:space="preserve">How is this standard problematic? First, the “specifically directed” test draws a series of untenable distinctions at the level of </w:t>
      </w:r>
      <w:proofErr w:type="spellStart"/>
      <w:r w:rsidRPr="00076A01">
        <w:t>actus</w:t>
      </w:r>
      <w:proofErr w:type="spellEnd"/>
      <w:r w:rsidRPr="00076A01">
        <w:t xml:space="preserve"> </w:t>
      </w:r>
      <w:proofErr w:type="spellStart"/>
      <w:proofErr w:type="gramStart"/>
      <w:r w:rsidRPr="00076A01">
        <w:t>reus</w:t>
      </w:r>
      <w:proofErr w:type="spellEnd"/>
      <w:proofErr w:type="gramEnd"/>
      <w:r w:rsidRPr="00076A01">
        <w:t xml:space="preserve">. For instance, the Appeals Chamber declares, “the provision of general assistance which could be used for both lawful and unlawful activities will not be sufficient alone, to prove that this aid was specifically directed to crimes of principal perpetrators.” </w:t>
      </w:r>
      <w:proofErr w:type="gramStart"/>
      <w:r w:rsidRPr="00076A01">
        <w:t>(</w:t>
      </w:r>
      <w:proofErr w:type="spellStart"/>
      <w:r w:rsidRPr="00076A01">
        <w:t>para</w:t>
      </w:r>
      <w:proofErr w:type="spellEnd"/>
      <w:r w:rsidRPr="00076A01">
        <w:t>. 44).</w:t>
      </w:r>
      <w:proofErr w:type="gramEnd"/>
      <w:r w:rsidRPr="00076A01">
        <w:t xml:space="preserve"> </w:t>
      </w:r>
      <w:proofErr w:type="gramStart"/>
      <w:r w:rsidRPr="00076A01">
        <w:t>But in words of Cambridge Professor Glanville Williams, accomplices are almost always “otherwise innocent,” and acts that help crime are frequently commonplace.</w:t>
      </w:r>
      <w:proofErr w:type="gramEnd"/>
      <w:r w:rsidRPr="00076A01">
        <w:t xml:space="preserve"> There is, for example, nothing inherently illegal in driving a car away from a bank, but this conduct becomes a paradigmatic example of complicity when it assists a bank robbery. Similarly, driving a car is commonplace, which in no way deprives the action of an ability to </w:t>
      </w:r>
      <w:r w:rsidRPr="00076A01">
        <w:lastRenderedPageBreak/>
        <w:t xml:space="preserve">constitute complicity when it makes a causal contribution to the realization of a pre-established crime. In either case, causation is the relevant inquiry (see </w:t>
      </w:r>
      <w:hyperlink r:id="rId9" w:history="1">
        <w:r w:rsidRPr="00076A01">
          <w:rPr>
            <w:rStyle w:val="Hyperlink"/>
          </w:rPr>
          <w:t>here</w:t>
        </w:r>
      </w:hyperlink>
      <w:r w:rsidRPr="00076A01">
        <w:t>), not “specific direction.”</w:t>
      </w:r>
    </w:p>
    <w:p w:rsidR="00076A01" w:rsidRPr="00076A01" w:rsidRDefault="00076A01" w:rsidP="00076A01">
      <w:pPr>
        <w:pStyle w:val="NormalWeb"/>
      </w:pPr>
      <w:r w:rsidRPr="00076A01">
        <w:t xml:space="preserve">“Specific direction” is all the more anomalous when one of the leading criterion for limiting the over-inclusive consequences of causation—the </w:t>
      </w:r>
      <w:r w:rsidRPr="00076A01">
        <w:rPr>
          <w:i/>
          <w:iCs/>
        </w:rPr>
        <w:t xml:space="preserve">substantial contribution </w:t>
      </w:r>
      <w:r w:rsidRPr="00076A01">
        <w:t xml:space="preserve">standard—is already applied in international doctrine. The standard refrain before the ICTY is that the aider and abettor must have a “substantial effect on the commission of crimes.” Admittedly, not everyone would use this same language. Scholars debate a range of doctrines for excluding causal contributions that are too remote, strange or unfair. These include the frequently misunderstood terms “remoteness,” “harm-within-the-risk” and, most significantly, “substantial contribution” (see </w:t>
      </w:r>
      <w:hyperlink r:id="rId10" w:history="1">
        <w:r w:rsidRPr="00076A01">
          <w:rPr>
            <w:rStyle w:val="Hyperlink"/>
          </w:rPr>
          <w:t>here</w:t>
        </w:r>
      </w:hyperlink>
      <w:r w:rsidRPr="00076A01">
        <w:t xml:space="preserve">, p. 19). In practice, the very purpose of doctrine like </w:t>
      </w:r>
      <w:proofErr w:type="spellStart"/>
      <w:r w:rsidRPr="00076A01">
        <w:rPr>
          <w:i/>
          <w:iCs/>
        </w:rPr>
        <w:t>objektive</w:t>
      </w:r>
      <w:proofErr w:type="spellEnd"/>
      <w:r w:rsidRPr="00076A01">
        <w:rPr>
          <w:i/>
          <w:iCs/>
        </w:rPr>
        <w:t xml:space="preserve"> </w:t>
      </w:r>
      <w:proofErr w:type="spellStart"/>
      <w:r w:rsidRPr="00076A01">
        <w:rPr>
          <w:i/>
          <w:iCs/>
        </w:rPr>
        <w:t>Zurechnung</w:t>
      </w:r>
      <w:proofErr w:type="spellEnd"/>
      <w:r w:rsidRPr="00076A01">
        <w:rPr>
          <w:i/>
          <w:iCs/>
        </w:rPr>
        <w:t xml:space="preserve"> </w:t>
      </w:r>
      <w:r w:rsidRPr="00076A01">
        <w:t xml:space="preserve">(normative attribution) in Germany and proximate cause in the United States is largely captured by this reference to substantial contribution, so it is odd that the Appeals Chamber created a “specific direction” standard instead of dedicating more energy to assessing </w:t>
      </w:r>
      <w:proofErr w:type="spellStart"/>
      <w:r w:rsidRPr="00076A01">
        <w:t>Perišić’s</w:t>
      </w:r>
      <w:proofErr w:type="spellEnd"/>
      <w:r w:rsidRPr="00076A01">
        <w:t xml:space="preserve"> alleged complicity within established categories.</w:t>
      </w:r>
    </w:p>
    <w:p w:rsidR="00076A01" w:rsidRPr="00076A01" w:rsidRDefault="00076A01" w:rsidP="00076A01">
      <w:pPr>
        <w:pStyle w:val="NormalWeb"/>
      </w:pPr>
      <w:r w:rsidRPr="00076A01">
        <w:t xml:space="preserve">The standard the Appeals Chamber adopts is also exceptionally hard to define. For instance, in elaborating a definition of “specifically directed”, the Appeals Chamber intimates that two inquiries are relevant. First, </w:t>
      </w:r>
      <w:proofErr w:type="spellStart"/>
      <w:r w:rsidRPr="00076A01">
        <w:t>Perišić’s</w:t>
      </w:r>
      <w:proofErr w:type="spellEnd"/>
      <w:r w:rsidRPr="00076A01">
        <w:t xml:space="preserve"> copious assistance could be “specifically directed” if “the VRS was an organisation whose sole and exclusive purpose was the commission of crimes” (Appeal Judgment, </w:t>
      </w:r>
      <w:proofErr w:type="spellStart"/>
      <w:r w:rsidRPr="00076A01">
        <w:t>para</w:t>
      </w:r>
      <w:proofErr w:type="spellEnd"/>
      <w:r w:rsidRPr="00076A01">
        <w:t xml:space="preserve">. 52). I doubt, however, that it is possible for any organization to </w:t>
      </w:r>
      <w:r w:rsidRPr="00076A01">
        <w:rPr>
          <w:i/>
          <w:iCs/>
        </w:rPr>
        <w:t>only</w:t>
      </w:r>
      <w:r w:rsidRPr="00076A01">
        <w:t xml:space="preserve"> act criminally: if members of the Gestapo or the </w:t>
      </w:r>
      <w:proofErr w:type="spellStart"/>
      <w:r w:rsidRPr="00076A01">
        <w:t>Interahamwe</w:t>
      </w:r>
      <w:proofErr w:type="spellEnd"/>
      <w:r w:rsidRPr="00076A01">
        <w:t xml:space="preserve"> drove on the correct side of the road, purchased food from local merchants, or fell in love and got married over the course of their respective genocides, I presume that one is not complicit in their many international crimes by helping them carry out these peripheral activities. Once again, causation is the concept that usually distinguishes these innocuous cases from those where an accomplice’s actions actually assist atrocities. By implication, this first prong of the “specifically directed” test runs counter to the preordained role of causation in the criminal law.</w:t>
      </w:r>
    </w:p>
    <w:p w:rsidR="00076A01" w:rsidRPr="00076A01" w:rsidRDefault="00076A01" w:rsidP="00076A01">
      <w:pPr>
        <w:pStyle w:val="NormalWeb"/>
      </w:pPr>
      <w:r w:rsidRPr="00076A01">
        <w:t xml:space="preserve">The second test is equally problematic. In addition to the criminal organizations limb, the Appeals Chamber declared that </w:t>
      </w:r>
      <w:proofErr w:type="spellStart"/>
      <w:r w:rsidRPr="00076A01">
        <w:t>Perišić’s</w:t>
      </w:r>
      <w:proofErr w:type="spellEnd"/>
      <w:r w:rsidRPr="00076A01">
        <w:t xml:space="preserve"> actions might be “specifically directed” at international crimes if he “</w:t>
      </w:r>
      <w:r w:rsidRPr="00076A01">
        <w:rPr>
          <w:i/>
          <w:iCs/>
        </w:rPr>
        <w:t>endorsed</w:t>
      </w:r>
      <w:r w:rsidRPr="00076A01">
        <w:t xml:space="preserve"> a policy of assisting VRS crimes.” (Appeal Judgment, </w:t>
      </w:r>
      <w:proofErr w:type="spellStart"/>
      <w:r w:rsidRPr="00076A01">
        <w:t>para</w:t>
      </w:r>
      <w:proofErr w:type="spellEnd"/>
      <w:r w:rsidRPr="00076A01">
        <w:t xml:space="preserve">. 52, my emphasis). However, this reasoning seems to inappropriately conflate the physical and psychological elements of accomplice liability. This tendency is exacerbated by findings that: “specific direction may involve considerations that are closely related to questions of </w:t>
      </w:r>
      <w:proofErr w:type="spellStart"/>
      <w:r w:rsidRPr="00076A01">
        <w:t>mens</w:t>
      </w:r>
      <w:proofErr w:type="spellEnd"/>
      <w:r w:rsidRPr="00076A01">
        <w:t xml:space="preserve"> </w:t>
      </w:r>
      <w:proofErr w:type="spellStart"/>
      <w:r w:rsidRPr="00076A01">
        <w:t>rea</w:t>
      </w:r>
      <w:proofErr w:type="spellEnd"/>
      <w:r w:rsidRPr="00076A01">
        <w:t xml:space="preserve">. Indeed, as discussed below, evidence regarding an individual’s state of mind may serve as circumstantial evidence that assistance he or she facilitated was specifically directed towards charged crimes.” (Appeal Judgment, </w:t>
      </w:r>
      <w:proofErr w:type="spellStart"/>
      <w:r w:rsidRPr="00076A01">
        <w:t>para</w:t>
      </w:r>
      <w:proofErr w:type="spellEnd"/>
      <w:r w:rsidRPr="00076A01">
        <w:t xml:space="preserve">. 48). Unfortunately, merging psychological dispositions like </w:t>
      </w:r>
      <w:r w:rsidRPr="00076A01">
        <w:rPr>
          <w:i/>
          <w:iCs/>
        </w:rPr>
        <w:t>endorsement</w:t>
      </w:r>
      <w:r w:rsidRPr="00076A01">
        <w:t xml:space="preserve"> with the conceptually distinct question of whether an </w:t>
      </w:r>
      <w:proofErr w:type="spellStart"/>
      <w:r w:rsidRPr="00076A01">
        <w:t>accused’s</w:t>
      </w:r>
      <w:proofErr w:type="spellEnd"/>
      <w:r w:rsidRPr="00076A01">
        <w:t xml:space="preserve"> conduct adequately assisted the crime in question is incompatible with basic ideas about criminal law, which strive to keep the two apart for sound reasons.</w:t>
      </w:r>
    </w:p>
    <w:p w:rsidR="00076A01" w:rsidRPr="00076A01" w:rsidRDefault="00076A01" w:rsidP="00076A01">
      <w:pPr>
        <w:pStyle w:val="NormalWeb"/>
      </w:pPr>
      <w:r w:rsidRPr="00076A01">
        <w:t xml:space="preserve">The Appeals Chamber’s position on remoteness is no more convincing. At several points in its analysis, the Chamber appears to opine that the remoteness of </w:t>
      </w:r>
      <w:proofErr w:type="spellStart"/>
      <w:r w:rsidRPr="00076A01">
        <w:t>Perišić’s</w:t>
      </w:r>
      <w:proofErr w:type="spellEnd"/>
      <w:r w:rsidRPr="00076A01">
        <w:t xml:space="preserve"> contribution necessitates the “specifically directed” test, such that this new standard would not be necessary if the accomplice was present when the crime was committed (see Appeal Judgment, </w:t>
      </w:r>
      <w:proofErr w:type="spellStart"/>
      <w:r w:rsidRPr="00076A01">
        <w:t>paras</w:t>
      </w:r>
      <w:proofErr w:type="spellEnd"/>
      <w:r w:rsidRPr="00076A01">
        <w:t xml:space="preserve">. 39, 70). </w:t>
      </w:r>
      <w:r w:rsidRPr="00076A01">
        <w:lastRenderedPageBreak/>
        <w:t xml:space="preserve">Thus, “specific direction” is not an invariable element of aiding and abetting; it only arises where the accomplice is not at the scene of the atrocity. Yet, this reasoning seems draconian, when presence at the scene of the crime was stripped of any normative significance in national understandings of complicity many decades ago. In the common law, for instance, a principal in the second degree was someone who assisted a crime while present at the scene, whereas accessories were absent. Canada abandoned the distinction in 1897, and all Anglo-American jurisdictions have followed suit since, precisely because the distinction is procedurally complicated and morally irrelevant. In this light, this aspect of the position in </w:t>
      </w:r>
      <w:proofErr w:type="spellStart"/>
      <w:r w:rsidRPr="00076A01">
        <w:t>Perišić</w:t>
      </w:r>
      <w:proofErr w:type="spellEnd"/>
      <w:r w:rsidRPr="00076A01">
        <w:t xml:space="preserve"> is highly regressive.</w:t>
      </w:r>
    </w:p>
    <w:p w:rsidR="00076A01" w:rsidRPr="00076A01" w:rsidRDefault="00076A01" w:rsidP="00076A01">
      <w:pPr>
        <w:pStyle w:val="NormalWeb"/>
      </w:pPr>
      <w:r w:rsidRPr="00076A01">
        <w:t xml:space="preserve">For similar reasons, one must be skeptical about the Appeals Chamber’s view that “geographic distance” is an appropriate measure of remoteness (see Appeal Judgment, </w:t>
      </w:r>
      <w:proofErr w:type="spellStart"/>
      <w:r w:rsidRPr="00076A01">
        <w:t>paras</w:t>
      </w:r>
      <w:proofErr w:type="spellEnd"/>
      <w:r w:rsidRPr="00076A01">
        <w:t xml:space="preserve">. 38-40). In a day and age where technology enables individuals to </w:t>
      </w:r>
      <w:r w:rsidRPr="00076A01">
        <w:rPr>
          <w:i/>
          <w:iCs/>
        </w:rPr>
        <w:t>cause</w:t>
      </w:r>
      <w:r w:rsidRPr="00076A01">
        <w:t xml:space="preserve"> untold harm across the entire planet, an attempt to limit complicity by geography seems to </w:t>
      </w:r>
      <w:proofErr w:type="spellStart"/>
      <w:r w:rsidRPr="00076A01">
        <w:t>underappreciate</w:t>
      </w:r>
      <w:proofErr w:type="spellEnd"/>
      <w:r w:rsidRPr="00076A01">
        <w:t xml:space="preserve"> contemporary capabilities for occasioning harm. If, for example, an independent medical company willfully sells vast quantities of a biological contagion to a terrorist group in the Netherlands so that they can use it as a weapon, then this terrorist group launches this weapon at New Zealand on the diametrically opposite side of the globe, surely geographic distance plays no part in calculating the medical company’s responsibility for the international crime that transpires when the weapon arrives at its destination. Likewise, “temporal distance” (Appeal Judgment, </w:t>
      </w:r>
      <w:proofErr w:type="spellStart"/>
      <w:r w:rsidRPr="00076A01">
        <w:t>para</w:t>
      </w:r>
      <w:proofErr w:type="spellEnd"/>
      <w:r w:rsidRPr="00076A01">
        <w:t>. 40) need not be relevant in assessing remoteness either—what difference does it make if the missile takes 15 minutes or 15 years to reach its target? I think none.</w:t>
      </w:r>
    </w:p>
    <w:p w:rsidR="00076A01" w:rsidRPr="00076A01" w:rsidRDefault="00076A01" w:rsidP="00076A01">
      <w:pPr>
        <w:pStyle w:val="NormalWeb"/>
      </w:pPr>
      <w:r w:rsidRPr="00076A01">
        <w:t xml:space="preserve">The final difficulty is that, in large part, this approach was unnecessary. In Part 2 of this criticism, I will show how the misgivings in </w:t>
      </w:r>
      <w:proofErr w:type="spellStart"/>
      <w:r w:rsidRPr="00076A01">
        <w:t>Perišić</w:t>
      </w:r>
      <w:proofErr w:type="spellEnd"/>
      <w:r w:rsidRPr="00076A01">
        <w:t xml:space="preserve"> are really issues for the mental element of complicity, which can be resolved there without unduly disrupting the integrity of the doctrine. For now, it suffices to observe how that Appeal Chamber’s new understanding fails to square with defensible principles, previous jurisprudence or national equivalents. If left unaddressed, this reasoning will leave a black mark on that institution’s important contribution to international criminal law, and erect an unjustifiable impediment to the accountability of those who assist atrocities. In a world where complicity’s importance transcends international criminal justice itself (extending to the UN Global Compact, the </w:t>
      </w:r>
      <w:proofErr w:type="spellStart"/>
      <w:r w:rsidRPr="00076A01">
        <w:t>Ruggie</w:t>
      </w:r>
      <w:proofErr w:type="spellEnd"/>
      <w:r w:rsidRPr="00076A01">
        <w:t xml:space="preserve"> Process, the Alien Tort Statute and beyond), these shortcomings raise real concerns.</w:t>
      </w:r>
    </w:p>
    <w:p w:rsidR="00076A01" w:rsidRPr="00076A01" w:rsidRDefault="00076A01" w:rsidP="00076A01">
      <w:pPr>
        <w:pStyle w:val="NormalWeb"/>
        <w:rPr>
          <w:b/>
          <w:sz w:val="28"/>
          <w:szCs w:val="28"/>
        </w:rPr>
      </w:pPr>
      <w:r w:rsidRPr="00076A01">
        <w:rPr>
          <w:b/>
          <w:sz w:val="28"/>
          <w:szCs w:val="28"/>
        </w:rPr>
        <w:t>The ICTY Loses its Way on Complicity – Part 2</w:t>
      </w:r>
    </w:p>
    <w:p w:rsidR="00076A01" w:rsidRPr="00076A01" w:rsidRDefault="00076A01" w:rsidP="00076A01">
      <w:pPr>
        <w:pStyle w:val="NormalWeb"/>
      </w:pPr>
      <w:r w:rsidRPr="00076A01">
        <w:t xml:space="preserve">In my earlier post, I voiced grave concerns with the ICTY’s recent decision on complicity in a case called Prosecutor v </w:t>
      </w:r>
      <w:proofErr w:type="spellStart"/>
      <w:r w:rsidRPr="00076A01">
        <w:t>Momčilo</w:t>
      </w:r>
      <w:proofErr w:type="spellEnd"/>
      <w:r w:rsidRPr="00076A01">
        <w:t xml:space="preserve"> </w:t>
      </w:r>
      <w:proofErr w:type="spellStart"/>
      <w:r w:rsidRPr="00076A01">
        <w:t>Perišić</w:t>
      </w:r>
      <w:proofErr w:type="spellEnd"/>
      <w:r w:rsidRPr="00076A01">
        <w:t xml:space="preserve"> (see </w:t>
      </w:r>
      <w:hyperlink r:id="rId11" w:history="1">
        <w:r w:rsidRPr="00076A01">
          <w:rPr>
            <w:rStyle w:val="Hyperlink"/>
          </w:rPr>
          <w:t>here</w:t>
        </w:r>
      </w:hyperlink>
      <w:r w:rsidRPr="00076A01">
        <w:t xml:space="preserve">). In my earlier posting, I provided background to this seminal case and criticized the new notion of “specific direction” as an </w:t>
      </w:r>
      <w:proofErr w:type="spellStart"/>
      <w:r w:rsidRPr="00076A01">
        <w:t>actus</w:t>
      </w:r>
      <w:proofErr w:type="spellEnd"/>
      <w:r w:rsidRPr="00076A01">
        <w:t xml:space="preserve"> </w:t>
      </w:r>
      <w:proofErr w:type="spellStart"/>
      <w:proofErr w:type="gramStart"/>
      <w:r w:rsidRPr="00076A01">
        <w:t>reus</w:t>
      </w:r>
      <w:proofErr w:type="spellEnd"/>
      <w:proofErr w:type="gramEnd"/>
      <w:r w:rsidRPr="00076A01">
        <w:t xml:space="preserve"> element of complicity. In this second posting, I discuss how the concerns that animated the Appeals Chamber are better considered within the confines of the mental element required for complicity. Some of the judges in </w:t>
      </w:r>
      <w:proofErr w:type="spellStart"/>
      <w:r w:rsidRPr="00076A01">
        <w:t>Perišić</w:t>
      </w:r>
      <w:proofErr w:type="spellEnd"/>
      <w:r w:rsidRPr="00076A01">
        <w:t xml:space="preserve"> share this intuition—in their Separate Opinion, Judges </w:t>
      </w:r>
      <w:proofErr w:type="spellStart"/>
      <w:r w:rsidRPr="00076A01">
        <w:t>Agius</w:t>
      </w:r>
      <w:proofErr w:type="spellEnd"/>
      <w:r w:rsidRPr="00076A01">
        <w:t xml:space="preserve"> and </w:t>
      </w:r>
      <w:proofErr w:type="spellStart"/>
      <w:r w:rsidRPr="00076A01">
        <w:t>Meron</w:t>
      </w:r>
      <w:proofErr w:type="spellEnd"/>
      <w:r w:rsidRPr="00076A01">
        <w:t xml:space="preserve"> indicate that they might be willing to consider “specific direction” as a component of </w:t>
      </w:r>
      <w:proofErr w:type="spellStart"/>
      <w:r w:rsidRPr="00076A01">
        <w:t>mens</w:t>
      </w:r>
      <w:proofErr w:type="spellEnd"/>
      <w:r w:rsidRPr="00076A01">
        <w:t xml:space="preserve"> </w:t>
      </w:r>
      <w:proofErr w:type="spellStart"/>
      <w:r w:rsidRPr="00076A01">
        <w:t>rea</w:t>
      </w:r>
      <w:proofErr w:type="spellEnd"/>
      <w:r w:rsidRPr="00076A01">
        <w:t xml:space="preserve"> if they were entitled to rewrite tribunal jurisprudence (Appeal Judgment, </w:t>
      </w:r>
      <w:proofErr w:type="spellStart"/>
      <w:r w:rsidRPr="00076A01">
        <w:t>Meron</w:t>
      </w:r>
      <w:proofErr w:type="spellEnd"/>
      <w:r w:rsidRPr="00076A01">
        <w:t xml:space="preserve"> and </w:t>
      </w:r>
      <w:proofErr w:type="spellStart"/>
      <w:r w:rsidRPr="00076A01">
        <w:t>Agius</w:t>
      </w:r>
      <w:proofErr w:type="spellEnd"/>
      <w:r w:rsidRPr="00076A01">
        <w:t xml:space="preserve"> Separate Opinion, </w:t>
      </w:r>
      <w:proofErr w:type="spellStart"/>
      <w:r w:rsidRPr="00076A01">
        <w:t>para</w:t>
      </w:r>
      <w:proofErr w:type="spellEnd"/>
      <w:r w:rsidRPr="00076A01">
        <w:t xml:space="preserve">. 3). For myself, I doubt whether the rewrite required </w:t>
      </w:r>
      <w:r w:rsidRPr="00076A01">
        <w:lastRenderedPageBreak/>
        <w:t>would be anywhere as far-reaching as that they have adopted, especially when the extant law governing the mental element of complicity already contemplates these issues.</w:t>
      </w:r>
    </w:p>
    <w:p w:rsidR="00076A01" w:rsidRPr="00076A01" w:rsidRDefault="00076A01" w:rsidP="00076A01">
      <w:pPr>
        <w:pStyle w:val="NormalWeb"/>
      </w:pPr>
      <w:r w:rsidRPr="00076A01">
        <w:t xml:space="preserve">International criminal courts and tribunals apply varying mental elements for complicity, including purpose, knowledge and recklessness (see </w:t>
      </w:r>
      <w:hyperlink r:id="rId12" w:history="1">
        <w:r w:rsidRPr="00076A01">
          <w:rPr>
            <w:rStyle w:val="Hyperlink"/>
          </w:rPr>
          <w:t>here</w:t>
        </w:r>
      </w:hyperlink>
      <w:r w:rsidRPr="00076A01">
        <w:t xml:space="preserve">, pp. 36-47). In the </w:t>
      </w:r>
      <w:proofErr w:type="spellStart"/>
      <w:r w:rsidRPr="00076A01">
        <w:t>Perišić</w:t>
      </w:r>
      <w:proofErr w:type="spellEnd"/>
      <w:r w:rsidRPr="00076A01">
        <w:t xml:space="preserve"> case, the Appeals Chamber’s recourse to the “specifically directed” standard as an </w:t>
      </w:r>
      <w:proofErr w:type="spellStart"/>
      <w:r w:rsidRPr="00076A01">
        <w:t>actus</w:t>
      </w:r>
      <w:proofErr w:type="spellEnd"/>
      <w:r w:rsidRPr="00076A01">
        <w:t xml:space="preserve"> </w:t>
      </w:r>
      <w:proofErr w:type="spellStart"/>
      <w:r w:rsidRPr="00076A01">
        <w:t>reus</w:t>
      </w:r>
      <w:proofErr w:type="spellEnd"/>
      <w:r w:rsidRPr="00076A01">
        <w:t xml:space="preserve"> appears to be a reaction to the notion of reckless complicity i.e. awareness of a probability that assistance will lead to crimes. As such, its embrace of the “specific direction” standard as part of the </w:t>
      </w:r>
      <w:proofErr w:type="spellStart"/>
      <w:r w:rsidRPr="00076A01">
        <w:t>actus</w:t>
      </w:r>
      <w:proofErr w:type="spellEnd"/>
      <w:r w:rsidRPr="00076A01">
        <w:t xml:space="preserve"> </w:t>
      </w:r>
      <w:proofErr w:type="spellStart"/>
      <w:proofErr w:type="gramStart"/>
      <w:r w:rsidRPr="00076A01">
        <w:t>reus</w:t>
      </w:r>
      <w:proofErr w:type="spellEnd"/>
      <w:proofErr w:type="gramEnd"/>
      <w:r w:rsidRPr="00076A01">
        <w:t xml:space="preserve"> could be read as a pragmatic attempt at restraining the scope of an over-inclusive mental element. Nonetheless, if elevating the mental element through the back door like this is the desired effect, it is arbitrary, unprincipled and unnecessary when more moderate interpretations of existing doctrine better account for the underlying concerns. </w:t>
      </w:r>
    </w:p>
    <w:p w:rsidR="00076A01" w:rsidRPr="00076A01" w:rsidRDefault="00076A01" w:rsidP="00076A01">
      <w:pPr>
        <w:pStyle w:val="NormalWeb"/>
      </w:pPr>
      <w:r w:rsidRPr="00076A01">
        <w:t xml:space="preserve">There are several better routes. First, it is surely better to consider the extent to which “probability” (the existing standard) demands a degree of specificity about the crimes that will result from the assistance in question. Note first how we get to probability. As the Appeals Chamber explicitly affirms, the mental element for complicity in customary international law is knowledge (Appeals Judgment, </w:t>
      </w:r>
      <w:proofErr w:type="spellStart"/>
      <w:r w:rsidRPr="00076A01">
        <w:t>para</w:t>
      </w:r>
      <w:proofErr w:type="spellEnd"/>
      <w:r w:rsidRPr="00076A01">
        <w:t xml:space="preserve">. 48). But what does this standard mean? Clearly, it cannot mean knowledge with certainty, as we can almost never know the future with certainty (see </w:t>
      </w:r>
      <w:hyperlink r:id="rId13" w:history="1">
        <w:r w:rsidRPr="00076A01">
          <w:rPr>
            <w:rStyle w:val="Hyperlink"/>
          </w:rPr>
          <w:t>here</w:t>
        </w:r>
      </w:hyperlink>
      <w:r w:rsidRPr="00076A01">
        <w:t xml:space="preserve">, pp. 40-41). So even if a member X of a criminal gang provides her terrorist colleague Y with a nuclear warhead for a very specific terrorist mission, X cannot know with certainty that a crime will transpire. In addition, in order to constitute complicity, the assistance must always have an effect ahead of time. Accordingly, if complicity has any role whatsoever, knowledge must mean some degree of probability. The question </w:t>
      </w:r>
      <w:proofErr w:type="gramStart"/>
      <w:r w:rsidRPr="00076A01">
        <w:t>is,</w:t>
      </w:r>
      <w:proofErr w:type="gramEnd"/>
      <w:r w:rsidRPr="00076A01">
        <w:t xml:space="preserve"> what degree? The Appeals Chamber’s concerns are far better channeled towards this question, instead of appending new requirements to the </w:t>
      </w:r>
      <w:proofErr w:type="spellStart"/>
      <w:r w:rsidRPr="00076A01">
        <w:t>actus</w:t>
      </w:r>
      <w:proofErr w:type="spellEnd"/>
      <w:r w:rsidRPr="00076A01">
        <w:t xml:space="preserve"> </w:t>
      </w:r>
      <w:proofErr w:type="spellStart"/>
      <w:proofErr w:type="gramStart"/>
      <w:r w:rsidRPr="00076A01">
        <w:t>reus</w:t>
      </w:r>
      <w:proofErr w:type="spellEnd"/>
      <w:proofErr w:type="gramEnd"/>
      <w:r w:rsidRPr="00076A01">
        <w:t xml:space="preserve"> of complicity in ways that unsettle the doctrine.</w:t>
      </w:r>
    </w:p>
    <w:p w:rsidR="00076A01" w:rsidRPr="00076A01" w:rsidRDefault="00076A01" w:rsidP="00076A01">
      <w:pPr>
        <w:pStyle w:val="NormalWeb"/>
      </w:pPr>
      <w:r w:rsidRPr="00076A01">
        <w:t xml:space="preserve">How might this definition of “probability” look in practice? At first blush, one might be tempted to say probability means awareness of a probability of events </w:t>
      </w:r>
      <w:r w:rsidRPr="00076A01">
        <w:rPr>
          <w:rStyle w:val="Emphasis"/>
        </w:rPr>
        <w:t xml:space="preserve">as they actually transpired </w:t>
      </w:r>
      <w:r w:rsidRPr="00076A01">
        <w:t xml:space="preserve">in the crime at issue. So, the accomplice would need to supply AK-47s in the awareness that they would probably lead to baby A’s death, at 3:34pm on a Thursday, when troops use the AK-47s to open fired on an undefended civilian shelter. When this actually transpires, the accomplice is guilty (assuming all other aspects of the offence are satisfied). Nevertheless, we should be careful to avoid prescribing a test that is so pedantic as to exclude unimportant moral variations—what if baby A died two minutes later than foreseen, at 3:36pm? Surely, the variation changes nothing. So, the real question the Appeals Chamber should have discussed is what degree of precision “probability” connotes. This question, by no small coincidence, overlaps with the approach that courts in the United States, France, Germany and England adopt in evaluating such problems (see </w:t>
      </w:r>
      <w:hyperlink r:id="rId14" w:history="1">
        <w:r w:rsidRPr="00076A01">
          <w:rPr>
            <w:rStyle w:val="Hyperlink"/>
          </w:rPr>
          <w:t>here</w:t>
        </w:r>
      </w:hyperlink>
      <w:r w:rsidRPr="00076A01">
        <w:t xml:space="preserve">, </w:t>
      </w:r>
      <w:proofErr w:type="gramStart"/>
      <w:r w:rsidRPr="00076A01">
        <w:t>fn</w:t>
      </w:r>
      <w:proofErr w:type="gramEnd"/>
      <w:r w:rsidRPr="00076A01">
        <w:t xml:space="preserve"> 143).</w:t>
      </w:r>
    </w:p>
    <w:p w:rsidR="00076A01" w:rsidRPr="00076A01" w:rsidRDefault="00076A01" w:rsidP="00076A01">
      <w:pPr>
        <w:pStyle w:val="NormalWeb"/>
      </w:pPr>
      <w:r w:rsidRPr="00076A01">
        <w:t xml:space="preserve">In appropriate circumstances, the Appeals Chamber could also find that providing the means used to commit atrocities was justified. In a famous English case called </w:t>
      </w:r>
      <w:proofErr w:type="spellStart"/>
      <w:r w:rsidRPr="00076A01">
        <w:t>Gillick</w:t>
      </w:r>
      <w:proofErr w:type="spellEnd"/>
      <w:r w:rsidRPr="00076A01">
        <w:t xml:space="preserve">, the House of Lords was asked to consider whether doctors providing contraceptive advice to juveniles became complicit in statutory rape, even though their motives were laudable, namely to prevent sexually transmitted diseases and unwanted pregnancies. Like the ICTY Appeals Chamber in </w:t>
      </w:r>
      <w:proofErr w:type="spellStart"/>
      <w:r w:rsidRPr="00076A01">
        <w:t>Perišić</w:t>
      </w:r>
      <w:proofErr w:type="spellEnd"/>
      <w:r w:rsidRPr="00076A01">
        <w:t xml:space="preserve">, the House of Lords contorted the mental element requisite for complicity in order to exonerate the </w:t>
      </w:r>
      <w:r w:rsidRPr="00076A01">
        <w:lastRenderedPageBreak/>
        <w:t xml:space="preserve">doctors, but leading British scholars, from Andrew Ashworth to David </w:t>
      </w:r>
      <w:proofErr w:type="spellStart"/>
      <w:r w:rsidRPr="00076A01">
        <w:t>Ormerod</w:t>
      </w:r>
      <w:proofErr w:type="spellEnd"/>
      <w:r w:rsidRPr="00076A01">
        <w:t xml:space="preserve">, have forcefully argued that this type of assistance should be treated as a justification, instead of allowing broad intuitions about guilt or innocence to corrupt the basic concept of complicity. Unfortunately, by overlooking this option, the Appeals Chamber appears to have done just this in the international sphere. </w:t>
      </w:r>
    </w:p>
    <w:p w:rsidR="00076A01" w:rsidRPr="00076A01" w:rsidRDefault="00076A01" w:rsidP="00076A01">
      <w:pPr>
        <w:pStyle w:val="NormalWeb"/>
      </w:pPr>
      <w:r w:rsidRPr="00076A01">
        <w:t xml:space="preserve">Finally, if all this still seems inadequate, the Appeals Chamber could also limit the application of reckless complicity to situations when recklessness would suffice for perpetration of the crime with which the accomplice will be convicted. To make this idea concrete, </w:t>
      </w:r>
      <w:proofErr w:type="spellStart"/>
      <w:r w:rsidRPr="00076A01">
        <w:t>Perišić</w:t>
      </w:r>
      <w:proofErr w:type="spellEnd"/>
      <w:r w:rsidRPr="00076A01">
        <w:t xml:space="preserve"> could be convicted as an accomplice of all of the crimes for which recklessness was sufficient for perpetration, but not persecution as a crime against humanity, since this latter requires a special purpose to discriminate that is not satisfied by a showing of mere recklessness. For all the other crimes, recklessness would suffice for perpetration, so why treat the accomplice any differently? As one prominent American theorist has suggested, using reckless as a standard for complicity </w:t>
      </w:r>
      <w:r w:rsidRPr="00076A01">
        <w:rPr>
          <w:rStyle w:val="Emphasis"/>
        </w:rPr>
        <w:t>where recklessness suffices for the crime in question</w:t>
      </w:r>
      <w:r w:rsidRPr="00076A01">
        <w:t xml:space="preserve"> would not imperil an individual’s autonomy or chill normal social interchange any more than reckless perpetration already does (see </w:t>
      </w:r>
      <w:hyperlink r:id="rId15" w:history="1">
        <w:r w:rsidRPr="00076A01">
          <w:rPr>
            <w:rStyle w:val="Hyperlink"/>
          </w:rPr>
          <w:t>here</w:t>
        </w:r>
      </w:hyperlink>
      <w:r w:rsidRPr="00076A01">
        <w:t>, p 42). There are also good reasons why this point is especially true internationally.</w:t>
      </w:r>
    </w:p>
    <w:p w:rsidR="00076A01" w:rsidRPr="00076A01" w:rsidRDefault="00076A01" w:rsidP="00076A01">
      <w:pPr>
        <w:pStyle w:val="NormalWeb"/>
      </w:pPr>
      <w:proofErr w:type="gramStart"/>
      <w:r w:rsidRPr="00076A01">
        <w:t>Finally, a word about the wider context.</w:t>
      </w:r>
      <w:proofErr w:type="gramEnd"/>
      <w:r w:rsidRPr="00076A01">
        <w:t xml:space="preserve"> In their briefs, </w:t>
      </w:r>
      <w:proofErr w:type="spellStart"/>
      <w:r w:rsidRPr="00076A01">
        <w:t>Perišić’s</w:t>
      </w:r>
      <w:proofErr w:type="spellEnd"/>
      <w:r w:rsidRPr="00076A01">
        <w:t xml:space="preserve"> lawyers skillfully argued that members of English, American and French governments could be held liable as accomplices on these interpretations of complicity for arming Libyan rebels, and that Russian officials might face a similar fate in Syria. I am far from certain that these cases would satisfy the more traditional concept of complicity I set out here, but if they do, I see no rationale for circumscribing the scope of defensible criminal doctrine. By the same token, should the ICTY suddenly redefine torture to accommodate practices that are now ubiquitous in the war on terror? This risks excessive deference to great powers, </w:t>
      </w:r>
      <w:proofErr w:type="gramStart"/>
      <w:r w:rsidRPr="00076A01">
        <w:t>who</w:t>
      </w:r>
      <w:proofErr w:type="gramEnd"/>
      <w:r w:rsidRPr="00076A01">
        <w:t xml:space="preserve"> are perfectly capable of violating the core moral precepts international courts have an obligation to dispassionately apply. Besides, the application of a morally fair, normatively coherent notion of complicity in these contexts could have salutary effects—if rebel groups in Libya or Syria cannot get weapons because their trusted suppliers fear complicity, perhaps these rebels will start to comply with the laws of war. </w:t>
      </w:r>
    </w:p>
    <w:p w:rsidR="00076A01" w:rsidRPr="00076A01" w:rsidRDefault="00076A01" w:rsidP="00076A01">
      <w:pPr>
        <w:pStyle w:val="NormalWeb"/>
      </w:pPr>
      <w:r w:rsidRPr="00076A01">
        <w:t xml:space="preserve">In sum, the </w:t>
      </w:r>
      <w:proofErr w:type="spellStart"/>
      <w:r w:rsidRPr="00076A01">
        <w:t>Perišić</w:t>
      </w:r>
      <w:proofErr w:type="spellEnd"/>
      <w:r w:rsidRPr="00076A01">
        <w:t xml:space="preserve"> Appeals Judgment leaves the law of complicity in a state of serious disarray. Without doubt, complicity is a difficult concept, national systems understand it inconsistently, and it engenders important consequences on a global stage. Despite this, its coherence in customary international law is dependent on the Appeals Chamber repudiating aspects of the </w:t>
      </w:r>
      <w:proofErr w:type="spellStart"/>
      <w:r w:rsidRPr="00076A01">
        <w:t>Perišić</w:t>
      </w:r>
      <w:proofErr w:type="spellEnd"/>
      <w:r w:rsidRPr="00076A01">
        <w:t xml:space="preserve"> Appeal Judgment that are so far from basic principles and so consequential for a raft of connected fields, from international criminal law itself to human rights and the laws of war. Perhaps, in its final hours, the ICTY will show the great moral courage required to admit that it lost its way in </w:t>
      </w:r>
      <w:proofErr w:type="spellStart"/>
      <w:r w:rsidRPr="00076A01">
        <w:t>Perišić</w:t>
      </w:r>
      <w:proofErr w:type="spellEnd"/>
      <w:r w:rsidRPr="00076A01">
        <w:t>, and correct the oversight. In the grand scheme of things, this moral courage may prove to be a defining aspect of the Tribunal’s legacy, in sharp contrast with the depths of human darkness it has witnessed over the course of its otherwise remarkable lifetime.</w:t>
      </w:r>
    </w:p>
    <w:p w:rsidR="00076A01" w:rsidRPr="00076A01" w:rsidRDefault="00076A01">
      <w:pPr>
        <w:rPr>
          <w:rFonts w:ascii="Times New Roman" w:hAnsi="Times New Roman" w:cs="Times New Roman"/>
          <w:sz w:val="24"/>
          <w:szCs w:val="24"/>
        </w:rPr>
      </w:pPr>
      <w:r>
        <w:rPr>
          <w:rFonts w:ascii="Calibri" w:eastAsia="Times New Roman" w:hAnsi="Calibri"/>
        </w:rPr>
        <w:br/>
      </w:r>
      <w:r w:rsidRPr="00076A01">
        <w:rPr>
          <w:rFonts w:ascii="Times New Roman" w:eastAsia="Times New Roman" w:hAnsi="Times New Roman" w:cs="Times New Roman"/>
          <w:sz w:val="24"/>
          <w:szCs w:val="24"/>
        </w:rPr>
        <w:t>James G. Stewart - The ICTY Loses its Way on Complicity - Part 1&lt;</w:t>
      </w:r>
      <w:hyperlink r:id="rId16" w:history="1">
        <w:r w:rsidRPr="00076A01">
          <w:rPr>
            <w:rStyle w:val="Hyperlink"/>
            <w:rFonts w:ascii="Times New Roman" w:eastAsia="Times New Roman" w:hAnsi="Times New Roman" w:cs="Times New Roman"/>
            <w:sz w:val="24"/>
            <w:szCs w:val="24"/>
          </w:rPr>
          <w:t>http://bit.ly/YTpMGg</w:t>
        </w:r>
      </w:hyperlink>
      <w:r w:rsidRPr="00076A01">
        <w:rPr>
          <w:rFonts w:ascii="Times New Roman" w:eastAsia="Times New Roman" w:hAnsi="Times New Roman" w:cs="Times New Roman"/>
          <w:sz w:val="24"/>
          <w:szCs w:val="24"/>
        </w:rPr>
        <w:br/>
      </w:r>
      <w:r w:rsidRPr="00076A01">
        <w:rPr>
          <w:rFonts w:ascii="Times New Roman" w:eastAsia="Times New Roman" w:hAnsi="Times New Roman" w:cs="Times New Roman"/>
          <w:sz w:val="24"/>
          <w:szCs w:val="24"/>
        </w:rPr>
        <w:br/>
        <w:t xml:space="preserve"> James G. Stewart - The ICTY Loses its Way on Complicity - Part 2&lt;</w:t>
      </w:r>
      <w:hyperlink r:id="rId17" w:history="1">
        <w:r w:rsidRPr="00076A01">
          <w:rPr>
            <w:rStyle w:val="Hyperlink"/>
            <w:rFonts w:ascii="Times New Roman" w:eastAsia="Times New Roman" w:hAnsi="Times New Roman" w:cs="Times New Roman"/>
            <w:sz w:val="24"/>
            <w:szCs w:val="24"/>
          </w:rPr>
          <w:t>http://bit.ly/10zo6i6</w:t>
        </w:r>
      </w:hyperlink>
    </w:p>
    <w:sectPr w:rsidR="00076A01" w:rsidRPr="00076A01"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A01"/>
    <w:rsid w:val="00076A01"/>
    <w:rsid w:val="009A3CF6"/>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01"/>
    <w:pPr>
      <w:spacing w:after="0" w:line="240" w:lineRule="auto"/>
    </w:pPr>
  </w:style>
  <w:style w:type="paragraph" w:styleId="Heading2">
    <w:name w:val="heading 2"/>
    <w:basedOn w:val="Normal"/>
    <w:link w:val="Heading2Char"/>
    <w:uiPriority w:val="9"/>
    <w:qFormat/>
    <w:rsid w:val="00076A01"/>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A01"/>
    <w:rPr>
      <w:color w:val="0000FF" w:themeColor="hyperlink"/>
      <w:u w:val="single"/>
    </w:rPr>
  </w:style>
  <w:style w:type="paragraph" w:styleId="NormalWeb">
    <w:name w:val="Normal (Web)"/>
    <w:basedOn w:val="Normal"/>
    <w:uiPriority w:val="99"/>
    <w:semiHidden/>
    <w:unhideWhenUsed/>
    <w:rsid w:val="00076A0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authordate">
    <w:name w:val="authordate"/>
    <w:basedOn w:val="Normal"/>
    <w:rsid w:val="00076A0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authname">
    <w:name w:val="authname"/>
    <w:basedOn w:val="DefaultParagraphFont"/>
    <w:rsid w:val="00076A01"/>
  </w:style>
  <w:style w:type="character" w:styleId="Emphasis">
    <w:name w:val="Emphasis"/>
    <w:basedOn w:val="DefaultParagraphFont"/>
    <w:uiPriority w:val="20"/>
    <w:qFormat/>
    <w:rsid w:val="00076A01"/>
    <w:rPr>
      <w:i/>
      <w:iCs/>
    </w:rPr>
  </w:style>
  <w:style w:type="character" w:styleId="Strong">
    <w:name w:val="Strong"/>
    <w:basedOn w:val="DefaultParagraphFont"/>
    <w:uiPriority w:val="22"/>
    <w:qFormat/>
    <w:rsid w:val="00076A01"/>
    <w:rPr>
      <w:b/>
      <w:bCs/>
    </w:rPr>
  </w:style>
  <w:style w:type="character" w:customStyle="1" w:styleId="Heading2Char">
    <w:name w:val="Heading 2 Char"/>
    <w:basedOn w:val="DefaultParagraphFont"/>
    <w:link w:val="Heading2"/>
    <w:uiPriority w:val="9"/>
    <w:rsid w:val="00076A01"/>
    <w:rPr>
      <w:rFonts w:ascii="Times New Roman" w:eastAsia="Times New Roman" w:hAnsi="Times New Roman" w:cs="Times New Roman"/>
      <w:b/>
      <w:bCs/>
      <w:sz w:val="36"/>
      <w:szCs w:val="36"/>
      <w:lang w:eastAsia="en-CA"/>
    </w:rPr>
  </w:style>
</w:styles>
</file>

<file path=word/webSettings.xml><?xml version="1.0" encoding="utf-8"?>
<w:webSettings xmlns:r="http://schemas.openxmlformats.org/officeDocument/2006/relationships" xmlns:w="http://schemas.openxmlformats.org/wordprocessingml/2006/main">
  <w:divs>
    <w:div w:id="1241480863">
      <w:bodyDiv w:val="1"/>
      <w:marLeft w:val="0"/>
      <w:marRight w:val="0"/>
      <w:marTop w:val="0"/>
      <w:marBottom w:val="0"/>
      <w:divBdr>
        <w:top w:val="none" w:sz="0" w:space="0" w:color="auto"/>
        <w:left w:val="none" w:sz="0" w:space="0" w:color="auto"/>
        <w:bottom w:val="none" w:sz="0" w:space="0" w:color="auto"/>
        <w:right w:val="none" w:sz="0" w:space="0" w:color="auto"/>
      </w:divBdr>
      <w:divsChild>
        <w:div w:id="983697981">
          <w:marLeft w:val="0"/>
          <w:marRight w:val="0"/>
          <w:marTop w:val="0"/>
          <w:marBottom w:val="0"/>
          <w:divBdr>
            <w:top w:val="none" w:sz="0" w:space="0" w:color="auto"/>
            <w:left w:val="none" w:sz="0" w:space="0" w:color="auto"/>
            <w:bottom w:val="none" w:sz="0" w:space="0" w:color="auto"/>
            <w:right w:val="none" w:sz="0" w:space="0" w:color="auto"/>
          </w:divBdr>
          <w:divsChild>
            <w:div w:id="748576996">
              <w:marLeft w:val="0"/>
              <w:marRight w:val="0"/>
              <w:marTop w:val="0"/>
              <w:marBottom w:val="0"/>
              <w:divBdr>
                <w:top w:val="none" w:sz="0" w:space="0" w:color="auto"/>
                <w:left w:val="none" w:sz="0" w:space="0" w:color="auto"/>
                <w:bottom w:val="none" w:sz="0" w:space="0" w:color="auto"/>
                <w:right w:val="none" w:sz="0" w:space="0" w:color="auto"/>
              </w:divBdr>
              <w:divsChild>
                <w:div w:id="1910769832">
                  <w:marLeft w:val="0"/>
                  <w:marRight w:val="0"/>
                  <w:marTop w:val="0"/>
                  <w:marBottom w:val="0"/>
                  <w:divBdr>
                    <w:top w:val="none" w:sz="0" w:space="0" w:color="auto"/>
                    <w:left w:val="none" w:sz="0" w:space="0" w:color="auto"/>
                    <w:bottom w:val="none" w:sz="0" w:space="0" w:color="auto"/>
                    <w:right w:val="none" w:sz="0" w:space="0" w:color="auto"/>
                  </w:divBdr>
                  <w:divsChild>
                    <w:div w:id="943348281">
                      <w:marLeft w:val="0"/>
                      <w:marRight w:val="0"/>
                      <w:marTop w:val="0"/>
                      <w:marBottom w:val="0"/>
                      <w:divBdr>
                        <w:top w:val="none" w:sz="0" w:space="0" w:color="auto"/>
                        <w:left w:val="none" w:sz="0" w:space="0" w:color="auto"/>
                        <w:bottom w:val="none" w:sz="0" w:space="0" w:color="auto"/>
                        <w:right w:val="none" w:sz="0" w:space="0" w:color="auto"/>
                      </w:divBdr>
                      <w:divsChild>
                        <w:div w:id="252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1131">
      <w:bodyDiv w:val="1"/>
      <w:marLeft w:val="0"/>
      <w:marRight w:val="0"/>
      <w:marTop w:val="0"/>
      <w:marBottom w:val="0"/>
      <w:divBdr>
        <w:top w:val="none" w:sz="0" w:space="0" w:color="auto"/>
        <w:left w:val="none" w:sz="0" w:space="0" w:color="auto"/>
        <w:bottom w:val="none" w:sz="0" w:space="0" w:color="auto"/>
        <w:right w:val="none" w:sz="0" w:space="0" w:color="auto"/>
      </w:divBdr>
    </w:div>
    <w:div w:id="1933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Wta1ao" TargetMode="External"/><Relationship Id="rId13" Type="http://schemas.openxmlformats.org/officeDocument/2006/relationships/hyperlink" Target="http://bit.ly/10V5P3N"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10V5P3N" TargetMode="External"/><Relationship Id="rId12" Type="http://schemas.openxmlformats.org/officeDocument/2006/relationships/hyperlink" Target="http://bit.ly/10V5P3N" TargetMode="External"/><Relationship Id="rId17" Type="http://schemas.openxmlformats.org/officeDocument/2006/relationships/hyperlink" Target="http://bit.ly/10zo6i6" TargetMode="External"/><Relationship Id="rId2" Type="http://schemas.openxmlformats.org/officeDocument/2006/relationships/settings" Target="settings.xml"/><Relationship Id="rId16" Type="http://schemas.openxmlformats.org/officeDocument/2006/relationships/hyperlink" Target="http://bit.ly/YTpMGg" TargetMode="External"/><Relationship Id="rId1" Type="http://schemas.openxmlformats.org/officeDocument/2006/relationships/styles" Target="styles.xml"/><Relationship Id="rId6" Type="http://schemas.openxmlformats.org/officeDocument/2006/relationships/hyperlink" Target="http://www.icty.org/x/cases/perisic/tjug/en/110906_judgement.pdf" TargetMode="External"/><Relationship Id="rId11" Type="http://schemas.openxmlformats.org/officeDocument/2006/relationships/hyperlink" Target="http://www.icty.org/x/cases/perisic/acjug/en/130228_judgement.pdf" TargetMode="External"/><Relationship Id="rId5" Type="http://schemas.openxmlformats.org/officeDocument/2006/relationships/hyperlink" Target="http://www.icty.org/x/cases/perisic/acjug/en/130228_judgement.pdf" TargetMode="External"/><Relationship Id="rId15" Type="http://schemas.openxmlformats.org/officeDocument/2006/relationships/hyperlink" Target="http://bit.ly/10V5P3N" TargetMode="External"/><Relationship Id="rId10" Type="http://schemas.openxmlformats.org/officeDocument/2006/relationships/hyperlink" Target="http://bit.ly/Wta1ao" TargetMode="External"/><Relationship Id="rId19" Type="http://schemas.openxmlformats.org/officeDocument/2006/relationships/theme" Target="theme/theme1.xml"/><Relationship Id="rId4" Type="http://schemas.openxmlformats.org/officeDocument/2006/relationships/hyperlink" Target="http://www.law.ubc.ca/faculty/Stewart/index.html" TargetMode="External"/><Relationship Id="rId9" Type="http://schemas.openxmlformats.org/officeDocument/2006/relationships/hyperlink" Target="http://bit.ly/Wta1ao" TargetMode="External"/><Relationship Id="rId14" Type="http://schemas.openxmlformats.org/officeDocument/2006/relationships/hyperlink" Target="http://bit.ly/10V5P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3378</Words>
  <Characters>19256</Characters>
  <Application>Microsoft Office Word</Application>
  <DocSecurity>0</DocSecurity>
  <Lines>160</Lines>
  <Paragraphs>45</Paragraphs>
  <ScaleCrop>false</ScaleCrop>
  <Company>Grizli777</Company>
  <LinksUpToDate>false</LinksUpToDate>
  <CharactersWithSpaces>22589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2013-04-04T21:16:00Z</dcterms:created>
  <dcterms:modified xsi:type="dcterms:W3CDTF">2013-04-04T21:20:00Z</dcterms:modified>
</cp:coreProperties>
</file>