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6C" w:rsidRPr="004A656C" w:rsidRDefault="004A656C" w:rsidP="004A6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Saopćenje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javnost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Odbora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obilježavanje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stogodišnjice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crnogorskog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nad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Bošnjacima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Albancima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plavsko-gusinjskog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kraja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sjedištem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u New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Yorku</w:t>
      </w:r>
      <w:proofErr w:type="spellEnd"/>
    </w:p>
    <w:p w:rsidR="004A656C" w:rsidRDefault="004A656C" w:rsidP="004A656C">
      <w:pPr>
        <w:spacing w:after="0" w:line="240" w:lineRule="auto"/>
        <w:rPr>
          <w:rFonts w:ascii="Times" w:eastAsia="Times New Roman" w:hAnsi="Times" w:cs="Times New Roman"/>
          <w:b/>
          <w:bCs/>
          <w:sz w:val="28"/>
          <w:szCs w:val="28"/>
          <w:lang w:val="es-ES_tradnl"/>
        </w:rPr>
      </w:pPr>
    </w:p>
    <w:p w:rsidR="004A656C" w:rsidRPr="004A656C" w:rsidRDefault="004A656C" w:rsidP="004A656C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val="es-ES_tradnl"/>
        </w:rPr>
      </w:pPr>
      <w:r w:rsidRPr="004A656C">
        <w:rPr>
          <w:rFonts w:ascii="Times" w:eastAsia="Times New Roman" w:hAnsi="Times" w:cs="Times New Roman"/>
          <w:b/>
          <w:bCs/>
          <w:sz w:val="28"/>
          <w:szCs w:val="28"/>
          <w:lang w:val="es-ES_tradnl"/>
        </w:rPr>
        <w:t>ĐUKANOVIĆEVA CRNA GORA KA EUROPI TRASIRA NJEGUŠEV GENOCIDNI PUT</w:t>
      </w:r>
    </w:p>
    <w:p w:rsidR="004A656C" w:rsidRDefault="004A656C" w:rsidP="004A656C">
      <w:pPr>
        <w:spacing w:after="24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:rsidR="004A656C" w:rsidRPr="004A656C" w:rsidRDefault="004A656C" w:rsidP="004A656C">
      <w:pPr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Saopćenje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javnost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Odbora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obilježavanje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stogodišnjice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crnogorskog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genocida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nad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Bošnjacima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Albancima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plavsko-gusinjskog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kraja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sjedištem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u New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Yorku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povodu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usvajanja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prijedloga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izmjene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zakona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o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državnim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praznicima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Vlade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Crne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Gore da 13.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novembar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-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datum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rođenja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genocidnog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pjesnika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Petra II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Petrovića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Njegoša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bude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novi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državni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praznik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„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Njegošev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dan – Dan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crnogorske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kulture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”,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kao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izjave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premijera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CG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Mila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Đukanovića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obilježavanju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200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godina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rođenja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istog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pjesnika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Lovćenu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ispred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mauzoleja</w:t>
      </w:r>
      <w:proofErr w:type="spellEnd"/>
    </w:p>
    <w:tbl>
      <w:tblPr>
        <w:tblW w:w="10200" w:type="dxa"/>
        <w:jc w:val="center"/>
        <w:tblCellSpacing w:w="0" w:type="dxa"/>
        <w:shd w:val="clear" w:color="auto" w:fill="DCDCD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80"/>
      </w:tblGrid>
      <w:tr w:rsidR="004A656C" w:rsidRPr="004A656C" w:rsidTr="004A656C">
        <w:trPr>
          <w:tblCellSpacing w:w="0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:rsidR="004A656C" w:rsidRPr="004A656C" w:rsidRDefault="004A656C" w:rsidP="004A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5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477000" cy="4591050"/>
                  <wp:effectExtent l="19050" t="0" r="0" b="0"/>
                  <wp:docPr id="1" name="Picture 1" descr="http://www.bosnjaci.net/foto/Njegos_i_Milo_Djukanovic001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snjaci.net/foto/Njegos_i_Milo_Djukanovic001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4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56C" w:rsidRPr="004A656C" w:rsidRDefault="004A656C" w:rsidP="004A656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4A656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A656C">
        <w:rPr>
          <w:rFonts w:ascii="Times New Roman" w:eastAsia="Times New Roman" w:hAnsi="Times New Roman" w:cs="Times New Roman"/>
          <w:sz w:val="28"/>
          <w:szCs w:val="28"/>
        </w:rPr>
        <w:br/>
        <w:t xml:space="preserve">Mi,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potomci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žrtava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plavsko-gusinjskom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kraju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najoštrije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osuđujemo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najnovije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slavljenje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autora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zločinačkog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vijenca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strane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Vlade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Crne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Gore,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premijera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Mila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Đukanovića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njegovih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slugana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Predložiti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zakon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usvajanje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državnim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praznicima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kojim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će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se 13.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novembar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4A6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datum </w:t>
        </w:r>
        <w:proofErr w:type="spellStart"/>
        <w:r w:rsidRPr="004A6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rođenja</w:t>
        </w:r>
        <w:proofErr w:type="spellEnd"/>
      </w:hyperlink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genocidnog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pjesnika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Petra II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Petrovića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Njegoša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proglasiti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državnim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praznikom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udarac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žrtve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njihovo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potomstvo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konačno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činom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sahranjuje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bilo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kakva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ideja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o multi-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kulti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Crnoj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Gori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Ovim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anticivilizacijskim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činom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ukazuje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muslimanima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Bošnjacima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Albancima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Romima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čija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Crna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Gora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takvoj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Đukanovićevoj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privatnoj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državi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mjesta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samo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slugane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poslušnike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doušnike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ovim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činom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aktuelno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crnogorsko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državno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rukovodstvo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potvrđuje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zla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kroz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vrijeme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posebno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nastanka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zločinačkog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vijenca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pa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danas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ustvari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činjeno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planski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organizirano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država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državni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vrh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stoje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iza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pogroma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istrebljenja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pokolja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zločina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>, GENOCIDA.</w:t>
      </w:r>
      <w:r w:rsidRPr="004A656C">
        <w:rPr>
          <w:rFonts w:ascii="Times New Roman" w:eastAsia="Times New Roman" w:hAnsi="Times New Roman" w:cs="Times New Roman"/>
          <w:sz w:val="28"/>
          <w:szCs w:val="28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što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rekao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Đukanović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pred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Pr="004A6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mauzolejom</w:t>
        </w:r>
        <w:proofErr w:type="spellEnd"/>
        <w:r w:rsidRPr="004A6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4A6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</w:t>
        </w:r>
        <w:proofErr w:type="spellEnd"/>
        <w:r w:rsidRPr="004A6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4A6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Lovćenu</w:t>
        </w:r>
        <w:proofErr w:type="spellEnd"/>
      </w:hyperlink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povodu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obilježavanja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godina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rođenja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genocidnog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pjesnika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Petra II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Petrovića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Njegoša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ustvari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ponovni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udarac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žrtve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nastanka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vijenca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(1846)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prvog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štampanja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(1847) pa do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danas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Uzrokom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tog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zločinačko-genocidnog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djela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koji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krvavom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kamom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pisao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Petar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Petrović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potekli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potoci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nedužne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bošnjačke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albanske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krvi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Zato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Đukanović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kazavši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pred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mauzolejom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ovog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krvoloka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Lovćen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sinonimi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crnogorske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slobode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bio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pjesnik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niti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inspirator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zločina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pozivao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borbu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protiv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bilo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kojeg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naroda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već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borbu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slobodu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ustvari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baca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prašinu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oči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preživjelim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žrtvama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potomcima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žrtava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cjelokupnoj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internacionalnoj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javnosti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pokušavajući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prekrojiti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original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sadržaj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Njegoševog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krvoločnog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pjesništva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iako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stvarne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agresivno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namjere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nedjela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moguće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sakriti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656C">
        <w:rPr>
          <w:rFonts w:ascii="Times New Roman" w:eastAsia="Times New Roman" w:hAnsi="Times New Roman" w:cs="Times New Roman"/>
          <w:sz w:val="28"/>
          <w:szCs w:val="28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Đukanovićevo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hvalisanje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krvoloka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Njegoša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njegovog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zloglasnog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djela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Gorski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vijenac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svojevrstan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mirnodopski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zločin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nad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žrtvama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što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jeste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velika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opomena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Bošnjacima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Albancima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vrijeme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zaštite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koji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potajno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ali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naveliko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pripremaju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europski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Crnogorci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čelu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Đukanovićem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 Pa,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nismo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zaboravili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: on je 90-tih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godina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Miloševićem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Ćosićem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Karadžićem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trasirao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put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tvorevine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Republike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Srpske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koja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nastala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krvi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kostima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nedužnih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bošnjačkih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civila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656C">
        <w:rPr>
          <w:rFonts w:ascii="Times New Roman" w:eastAsia="Times New Roman" w:hAnsi="Times New Roman" w:cs="Times New Roman"/>
          <w:sz w:val="28"/>
          <w:szCs w:val="28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</w:rPr>
        <w:br/>
        <w:t xml:space="preserve">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periodu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167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godina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nastanka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srpsko-crnogorske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svete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knjige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vijenca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istrijebljena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mnoga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mjesta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muslimana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Tako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opustošeni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Beograd,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Užice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Šabac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Kolašin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Nikšić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Sjenica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Plav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Gusinje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Šahovići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Bihor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Pljevlja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Bukovica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Foča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Višegrad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Zvornik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Bijeljina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Prijedor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Banja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Luka,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Trebinje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Nevesinje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..., pa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krvave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Srebrenice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656C">
        <w:rPr>
          <w:rFonts w:ascii="Times New Roman" w:eastAsia="Times New Roman" w:hAnsi="Times New Roman" w:cs="Times New Roman"/>
          <w:sz w:val="28"/>
          <w:szCs w:val="28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</w:rPr>
        <w:br/>
        <w:t xml:space="preserve">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toku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agresije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Republiku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Bosnu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Hercegovinu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genocida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Bošnjacima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srpsko-crnogorske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razne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vojne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policijske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paravojne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formacije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vršile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najteže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oblike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zločina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protiv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čovječnosti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</w:rPr>
        <w:t>civilizacije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vršenju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zločina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bodreni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stihovima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genocidnog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vijenca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Petra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Petrovića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rukama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zločinaca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štivo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služilo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kulturno-poetsko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uzdizanje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već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isključivo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kao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opijajući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izvor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agresiju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genocid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prolijevanje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krvi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nedužnih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nejači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.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Ovaj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srpsko-crnogorski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-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kako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nazva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Đukanović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- “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genijalni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pjesnik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filozof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državnik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”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genocidnom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Gorskom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vijencu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otpjeva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: 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“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Nego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udri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dokle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mahat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možeš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, a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ne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žali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ništa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svijetu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!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pošlo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đavoljijem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tragom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zaudara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zemlja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Muhamedom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! </w:t>
      </w:r>
      <w:proofErr w:type="gram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“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ili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„da se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ne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zna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ni traga,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nevjerna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domaćega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vraga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šiljka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turske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džamije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napravismo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prokletu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gomilu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“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„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ko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ne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misli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Koran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pljunuti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neka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bježi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glavom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bez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>obzira</w:t>
      </w:r>
      <w:proofErr w:type="spellEnd"/>
      <w:r w:rsidRPr="004A656C">
        <w:rPr>
          <w:rFonts w:ascii="Times New Roman" w:eastAsia="Times New Roman" w:hAnsi="Times New Roman" w:cs="Times New Roman"/>
          <w:i/>
          <w:iCs/>
          <w:sz w:val="28"/>
          <w:szCs w:val="28"/>
          <w:lang w:val="es-ES_tradnl"/>
        </w:rPr>
        <w:t xml:space="preserve">“. 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Ovo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ruglo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stihova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pjevano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prilikom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klanja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„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vijenac</w:t>
      </w:r>
      <w:proofErr w:type="spellEnd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“ je</w:t>
      </w:r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hrana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srpsko-crnogorske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zločinačke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horde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njenom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krvavom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piru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su 90-tih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trasirali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srpsko-crnogorski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estabilišment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čelu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Miloševićem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Ćosićem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Bulatovićem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Đukanovićem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Karadžićem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Raškovićem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Kilibardom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...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imali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(i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imaju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)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cilj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istrebljenje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zatiranje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svakog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traga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bitisanja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bitnosti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bošnjačkog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nacionalnog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bića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gdje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bilo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Zlikovac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mantijom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svojim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odabranim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stihovima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poziva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poniženje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uništavanje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zatiranje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njihove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nacionalne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vjerske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patriotske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svijesti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kako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Srbo-Crnogorci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živjeli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jednoj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državi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  <w:t xml:space="preserve">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4.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Turke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poredi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životinjama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kote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rađaju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a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685. </w:t>
      </w:r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islam</w:t>
      </w:r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naziva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đavolom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U 701.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stihu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islam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naziva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krvničkom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vjerom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858.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poziva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rušenje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džamija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munara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četnici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poslušali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1143.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pominje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„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svečevu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kobilu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“, 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misli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poslanika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Muhammeda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a.s.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a u 1778.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stihu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Turke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naziva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„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pasjim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narodom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“, a onda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uzvikuje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„…i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turske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kule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džamije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Pazar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smrdi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nekršću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…“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stihovima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2723. </w:t>
      </w:r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do</w:t>
      </w:r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2784.,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likuje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: „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ti nema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našu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nahiju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obilježja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turskoga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uha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trupine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ali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razvaline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“.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Danas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Njegoševo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djelo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pozivanja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poniženje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uništenje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nastavlja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vječni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premijer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Crne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Gore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Milo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Đukanović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smatra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da su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Lovćen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sinonimi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crnogorske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slobode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Tako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Đukanović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pritvrđuje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da je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on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već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treću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deceniju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utabao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genocidni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put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Njegoševom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osnovnom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motu 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nesrbe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necernogorce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treba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protjerati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ubiti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zaklati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zapaliti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raskomadati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silovati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...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lastRenderedPageBreak/>
        <w:t>Đukanović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državnog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nivoa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premijerske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pozicije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vršio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periodu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krvave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agresije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RBiH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genocida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ali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ratnih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zločina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tlu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CG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odgovarao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Najnovije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Đukanovićeve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izjave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ukazuju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podržavanju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zločina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protiv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čovječnosti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civilizacije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i time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potvrđuje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ljudska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prava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slobode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Crnoj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Sandžaku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jednako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ugrožena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kao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.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Tvrdimo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zločinački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vjenac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zadatak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da „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Načertanije</w:t>
      </w:r>
      <w:proofErr w:type="spellEnd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“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dovede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operativnu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funkciju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mobilizira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narodne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mase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kako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što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više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ponizili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protjerali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pobili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Bošnjaci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Zato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krvolok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traži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da se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očisti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zemlja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„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nekrsti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“. A,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operativno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provođene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vijenca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danas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radi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Đukanović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svojim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poslušnim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establišmentom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među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je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nekoliko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kvazi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šaku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krvavih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eura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prodali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svoje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članove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porodice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kunu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Đukanovićevi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nacionalisti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pravoslavni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jurišnici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najviše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srpski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crnogorski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četnici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svakog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klanja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pohoda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muslimanska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sela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govorili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: “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poslije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”.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  <w:t xml:space="preserve">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ime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žrtava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agresije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genocida,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Odbor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obilježavanje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stogodišnjice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crnogorskog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genocida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Albancima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plavsko-gusinjskog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kraja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sjedištem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u New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Yorku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upozorava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svjetsku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javnost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nastavak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politike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srpsko-crnogorskog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veličanja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agresije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genocida. 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kontinuiranom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negiranju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genocida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veličanju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zločinaca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izvijestiti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ćemo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relevantne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institucije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organizacije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zaštitu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ljudskih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prava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sloboda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  <w:t xml:space="preserve">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ime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žrtava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agresije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okupacije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genocida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Sandžaka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Bosne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Plava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Gusinja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Srebrenice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odbacujemo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Đukanovićeve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riječi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promoviranja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krvoloka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njegovog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zločinačkog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genocidnog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vijenca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jesu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sveto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idejno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štivo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izvršiocima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genocida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muslimanima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Albancima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Pozivamo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bošnjačke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albanske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institucije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cijelom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regionu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dijaspori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javno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osude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čin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Vlade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Crne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Gore,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čije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namjere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usvajanje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13. </w:t>
      </w:r>
      <w:proofErr w:type="spellStart"/>
      <w:proofErr w:type="gram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novembra</w:t>
      </w:r>
      <w:proofErr w:type="spellEnd"/>
      <w:proofErr w:type="gram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da dan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Njegoševog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rođenja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bude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državni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praznik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kao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izjave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crnogorskog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premijera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Mila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Đukanovića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su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nijele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snažan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udarac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pravdi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istini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dokazale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Crna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samo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da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štiti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prava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slobode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svojih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građana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već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Njegušem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Europi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trasiraju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genocidni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put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  <w:t xml:space="preserve">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kraju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obilježavanje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200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godina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od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rođenja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Njegoša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njegovog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zločinačkog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djela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Gorskog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vijenca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ustvari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je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konačno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sahranjivanje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bilo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kakve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ideje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o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multi-kulti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Crnoj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Gori</w:t>
      </w:r>
      <w:proofErr w:type="spellEnd"/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t>.</w:t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r w:rsidRPr="004A656C">
        <w:rPr>
          <w:rFonts w:ascii="Times New Roman" w:eastAsia="Times New Roman" w:hAnsi="Times New Roman" w:cs="Times New Roman"/>
          <w:sz w:val="28"/>
          <w:szCs w:val="28"/>
          <w:lang w:val="es-ES_tradnl"/>
        </w:rPr>
        <w:br/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Odbor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za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obilježavanje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stogodišnjice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crnogorskog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genocida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nad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Bošnjacima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i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Albancima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plavsko-gusinjskog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kraja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sa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sjedištem</w:t>
      </w:r>
      <w:proofErr w:type="spellEnd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u New </w:t>
      </w:r>
      <w:proofErr w:type="spellStart"/>
      <w:r w:rsidRPr="004A65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/>
        </w:rPr>
        <w:t>Yorku</w:t>
      </w:r>
      <w:proofErr w:type="spellEnd"/>
    </w:p>
    <w:p w:rsidR="00AC5136" w:rsidRPr="004A656C" w:rsidRDefault="00AC5136" w:rsidP="004A656C">
      <w:pPr>
        <w:rPr>
          <w:sz w:val="28"/>
          <w:szCs w:val="28"/>
          <w:lang w:val="es-ES_tradnl"/>
        </w:rPr>
      </w:pPr>
    </w:p>
    <w:sectPr w:rsidR="00AC5136" w:rsidRPr="004A656C" w:rsidSect="00AC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0DCB"/>
    <w:rsid w:val="00067536"/>
    <w:rsid w:val="00094673"/>
    <w:rsid w:val="000F2FDA"/>
    <w:rsid w:val="000F7ECE"/>
    <w:rsid w:val="00161125"/>
    <w:rsid w:val="001B314A"/>
    <w:rsid w:val="00295C38"/>
    <w:rsid w:val="003A02E5"/>
    <w:rsid w:val="003D4375"/>
    <w:rsid w:val="00451D3D"/>
    <w:rsid w:val="004A656C"/>
    <w:rsid w:val="005A6133"/>
    <w:rsid w:val="00653C2D"/>
    <w:rsid w:val="0068619F"/>
    <w:rsid w:val="00713D39"/>
    <w:rsid w:val="007B1434"/>
    <w:rsid w:val="007D07BE"/>
    <w:rsid w:val="0088071A"/>
    <w:rsid w:val="00886916"/>
    <w:rsid w:val="008956AE"/>
    <w:rsid w:val="008A5B4F"/>
    <w:rsid w:val="00A26C89"/>
    <w:rsid w:val="00AC5136"/>
    <w:rsid w:val="00B36A58"/>
    <w:rsid w:val="00B745C5"/>
    <w:rsid w:val="00BD71B5"/>
    <w:rsid w:val="00C74ECB"/>
    <w:rsid w:val="00CC238B"/>
    <w:rsid w:val="00CC25AB"/>
    <w:rsid w:val="00CE1BC4"/>
    <w:rsid w:val="00D14135"/>
    <w:rsid w:val="00D4751F"/>
    <w:rsid w:val="00DC0F6F"/>
    <w:rsid w:val="00E40C6B"/>
    <w:rsid w:val="00EF61F6"/>
    <w:rsid w:val="00F64D71"/>
    <w:rsid w:val="00F85B36"/>
    <w:rsid w:val="00FA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5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65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916">
          <w:marLeft w:val="0"/>
          <w:marRight w:val="0"/>
          <w:marTop w:val="0"/>
          <w:marBottom w:val="22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36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jesti.me/vijesti/dukanovic-njegos-bi-bio-ponosan-danasnju-crnu-goru-clanak-155670" TargetMode="External"/><Relationship Id="rId5" Type="http://schemas.openxmlformats.org/officeDocument/2006/relationships/hyperlink" Target="http://www.vijesti.me/vijesti/datum-njegosevog-rodenja-novi-drzavni-praznik-clanak-1565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DPC2093</dc:creator>
  <cp:keywords/>
  <dc:description/>
  <cp:lastModifiedBy>CAI</cp:lastModifiedBy>
  <cp:revision>2</cp:revision>
  <dcterms:created xsi:type="dcterms:W3CDTF">2013-10-25T12:49:00Z</dcterms:created>
  <dcterms:modified xsi:type="dcterms:W3CDTF">2013-10-25T12:49:00Z</dcterms:modified>
</cp:coreProperties>
</file>