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B7D" w:rsidRPr="00FD0EBB" w:rsidRDefault="00BD4B7D" w:rsidP="00BD4B7D">
      <w:pPr>
        <w:rPr>
          <w:rFonts w:ascii="Times" w:hAnsi="Times" w:cs="Helvetica"/>
          <w:b/>
          <w:i/>
          <w:color w:val="10131A"/>
        </w:rPr>
      </w:pPr>
      <w:bookmarkStart w:id="0" w:name="_GoBack"/>
      <w:bookmarkEnd w:id="0"/>
      <w:r>
        <w:rPr>
          <w:rFonts w:ascii="Times" w:hAnsi="Times" w:cs="Helvetica"/>
          <w:b/>
          <w:i/>
          <w:color w:val="10131A"/>
        </w:rPr>
        <w:t xml:space="preserve">With </w:t>
      </w:r>
      <w:proofErr w:type="spellStart"/>
      <w:r>
        <w:rPr>
          <w:rFonts w:ascii="Times" w:hAnsi="Times" w:cs="Helvetica"/>
          <w:b/>
          <w:i/>
          <w:color w:val="10131A"/>
        </w:rPr>
        <w:t>Šešelj's</w:t>
      </w:r>
      <w:proofErr w:type="spellEnd"/>
      <w:r>
        <w:rPr>
          <w:rFonts w:ascii="Times" w:hAnsi="Times" w:cs="Helvetica"/>
          <w:b/>
          <w:i/>
          <w:color w:val="10131A"/>
        </w:rPr>
        <w:t xml:space="preserve"> Release from </w:t>
      </w:r>
      <w:proofErr w:type="gramStart"/>
      <w:r>
        <w:rPr>
          <w:rFonts w:ascii="Times" w:hAnsi="Times" w:cs="Helvetica"/>
          <w:b/>
          <w:i/>
          <w:color w:val="10131A"/>
        </w:rPr>
        <w:t>the</w:t>
      </w:r>
      <w:proofErr w:type="gramEnd"/>
      <w:r>
        <w:rPr>
          <w:rFonts w:ascii="Times" w:hAnsi="Times" w:cs="Helvetica"/>
          <w:b/>
          <w:i/>
          <w:color w:val="10131A"/>
        </w:rPr>
        <w:t xml:space="preserve"> Hague, Can There be </w:t>
      </w:r>
      <w:r w:rsidRPr="00FD0EBB">
        <w:rPr>
          <w:rFonts w:ascii="Times" w:hAnsi="Times" w:cs="Helvetica"/>
          <w:b/>
          <w:i/>
          <w:color w:val="10131A"/>
        </w:rPr>
        <w:t>Justice on the Ground in Bosnia</w:t>
      </w:r>
      <w:r>
        <w:rPr>
          <w:rFonts w:ascii="Times" w:hAnsi="Times" w:cs="Helvetica"/>
          <w:b/>
          <w:i/>
          <w:color w:val="10131A"/>
        </w:rPr>
        <w:t>?</w:t>
      </w:r>
    </w:p>
    <w:p w:rsidR="005C79C9" w:rsidRPr="009D0634" w:rsidRDefault="005C79C9" w:rsidP="005C79C9">
      <w:pPr>
        <w:rPr>
          <w:rFonts w:ascii="Times" w:hAnsi="Times" w:cs="Helvetica"/>
          <w:color w:val="10131A"/>
        </w:rPr>
      </w:pPr>
    </w:p>
    <w:p w:rsidR="005C79C9" w:rsidRPr="009D0634" w:rsidRDefault="005C79C9" w:rsidP="005C79C9">
      <w:pPr>
        <w:rPr>
          <w:rFonts w:ascii="Times New Roman" w:hAnsi="Times New Roman" w:cs="Times New Roman"/>
        </w:rPr>
      </w:pPr>
      <w:r w:rsidRPr="009D0634">
        <w:rPr>
          <w:rFonts w:ascii="Times" w:hAnsi="Times" w:cs="Helvetica"/>
          <w:color w:val="10131A"/>
        </w:rPr>
        <w:t>The recent release of ultranationalist demagogue Vojislav Šešelj</w:t>
      </w:r>
      <w:r w:rsidR="00B65479" w:rsidRPr="009D0634">
        <w:rPr>
          <w:rFonts w:ascii="Times" w:hAnsi="Times" w:cs="Helvetica"/>
          <w:color w:val="10131A"/>
          <w:vertAlign w:val="superscript"/>
        </w:rPr>
        <w:t>1</w:t>
      </w:r>
      <w:r w:rsidRPr="009D0634">
        <w:rPr>
          <w:rFonts w:ascii="Times" w:hAnsi="Times" w:cs="Helvetica"/>
          <w:color w:val="10131A"/>
        </w:rPr>
        <w:t xml:space="preserve"> from his detention at </w:t>
      </w:r>
      <w:proofErr w:type="gramStart"/>
      <w:r w:rsidRPr="009D0634">
        <w:rPr>
          <w:rFonts w:ascii="Times" w:hAnsi="Times" w:cs="Helvetica"/>
          <w:color w:val="10131A"/>
        </w:rPr>
        <w:t>the</w:t>
      </w:r>
      <w:proofErr w:type="gramEnd"/>
      <w:r w:rsidRPr="009D0634">
        <w:rPr>
          <w:rFonts w:ascii="Times" w:hAnsi="Times" w:cs="Helvetica"/>
          <w:color w:val="10131A"/>
        </w:rPr>
        <w:t xml:space="preserve"> Hague, for "compelling humanitarian reasons,"</w:t>
      </w:r>
      <w:r w:rsidR="00B65479" w:rsidRPr="009D0634">
        <w:rPr>
          <w:rFonts w:ascii="Times" w:hAnsi="Times" w:cs="Helvetica"/>
          <w:color w:val="10131A"/>
          <w:vertAlign w:val="superscript"/>
        </w:rPr>
        <w:t>2</w:t>
      </w:r>
      <w:r w:rsidRPr="009D0634">
        <w:rPr>
          <w:rFonts w:ascii="Times" w:hAnsi="Times" w:cs="Helvetica"/>
          <w:color w:val="10131A"/>
        </w:rPr>
        <w:t xml:space="preserve"> raises new questions about the legacy of the International Criminal Tribunal for the Former Yugoslavia (ICTY). </w:t>
      </w:r>
      <w:proofErr w:type="spellStart"/>
      <w:r w:rsidRPr="009D0634">
        <w:rPr>
          <w:rFonts w:ascii="Times" w:hAnsi="Times" w:cs="Helvetica"/>
          <w:color w:val="10131A"/>
        </w:rPr>
        <w:t>Šešelj</w:t>
      </w:r>
      <w:proofErr w:type="spellEnd"/>
      <w:r w:rsidRPr="009D0634">
        <w:rPr>
          <w:rFonts w:ascii="Times New Roman" w:hAnsi="Times New Roman" w:cs="Times New Roman"/>
        </w:rPr>
        <w:t xml:space="preserve"> is charged, for example, with having "made inflammatory speeches in the media" and with having "espoused and encouraged the creation of a homogeneous 'Greater Serbia,' by violence, and thereby participated in war propaganda and incitement of hatred towards non-Serb people."</w:t>
      </w:r>
      <w:r w:rsidR="00B65479" w:rsidRPr="009D0634">
        <w:rPr>
          <w:rFonts w:ascii="Times New Roman" w:hAnsi="Times New Roman" w:cs="Times New Roman"/>
          <w:vertAlign w:val="superscript"/>
        </w:rPr>
        <w:t>3</w:t>
      </w:r>
      <w:r w:rsidRPr="009D0634">
        <w:rPr>
          <w:rFonts w:ascii="Times New Roman" w:hAnsi="Times New Roman" w:cs="Times New Roman"/>
        </w:rPr>
        <w:t xml:space="preserve"> </w:t>
      </w:r>
      <w:r w:rsidRPr="009D0634">
        <w:rPr>
          <w:rFonts w:ascii="Times" w:hAnsi="Times" w:cs="Helvetica"/>
          <w:color w:val="10131A"/>
        </w:rPr>
        <w:t xml:space="preserve">Upon his arrival in Belgrade following his release, </w:t>
      </w:r>
      <w:proofErr w:type="spellStart"/>
      <w:r w:rsidRPr="009D0634">
        <w:rPr>
          <w:rFonts w:ascii="Times" w:hAnsi="Times" w:cs="Helvetica"/>
          <w:color w:val="10131A"/>
        </w:rPr>
        <w:t>Šešelj</w:t>
      </w:r>
      <w:proofErr w:type="spellEnd"/>
      <w:r w:rsidRPr="009D0634">
        <w:rPr>
          <w:rFonts w:ascii="Times" w:hAnsi="Times" w:cs="Helvetica"/>
          <w:color w:val="10131A"/>
        </w:rPr>
        <w:t xml:space="preserve"> re-affirmed his commitment to pursuing a "Greater Serbia," and </w:t>
      </w:r>
      <w:r w:rsidR="00860354">
        <w:rPr>
          <w:rFonts w:ascii="Times" w:hAnsi="Times" w:cs="Helvetica"/>
          <w:color w:val="10131A"/>
        </w:rPr>
        <w:t>brazenly</w:t>
      </w:r>
      <w:r w:rsidRPr="009D0634">
        <w:rPr>
          <w:rFonts w:ascii="Times" w:hAnsi="Times" w:cs="Helvetica"/>
          <w:color w:val="10131A"/>
        </w:rPr>
        <w:t xml:space="preserve"> asserted that he would never return voluntarily to </w:t>
      </w:r>
      <w:proofErr w:type="gramStart"/>
      <w:r w:rsidRPr="009D0634">
        <w:rPr>
          <w:rFonts w:ascii="Times" w:hAnsi="Times" w:cs="Helvetica"/>
          <w:color w:val="10131A"/>
        </w:rPr>
        <w:t>the</w:t>
      </w:r>
      <w:proofErr w:type="gramEnd"/>
      <w:r w:rsidRPr="009D0634">
        <w:rPr>
          <w:rFonts w:ascii="Times" w:hAnsi="Times" w:cs="Helvetica"/>
          <w:color w:val="10131A"/>
        </w:rPr>
        <w:t xml:space="preserve"> Hague. </w:t>
      </w:r>
      <w:r w:rsidRPr="009D0634">
        <w:rPr>
          <w:rFonts w:ascii="Times New Roman" w:hAnsi="Times New Roman" w:cs="Times New Roman"/>
        </w:rPr>
        <w:t xml:space="preserve">In addition to his "extreme ethnic rhetoric," </w:t>
      </w:r>
      <w:proofErr w:type="spellStart"/>
      <w:r w:rsidRPr="009D0634">
        <w:rPr>
          <w:rFonts w:ascii="Times" w:hAnsi="Times" w:cs="Helvetica"/>
          <w:color w:val="10131A"/>
        </w:rPr>
        <w:t>Šešelj</w:t>
      </w:r>
      <w:proofErr w:type="spellEnd"/>
      <w:r w:rsidRPr="009D0634">
        <w:rPr>
          <w:rFonts w:ascii="Times" w:hAnsi="Times" w:cs="Helvetica"/>
          <w:color w:val="10131A"/>
        </w:rPr>
        <w:t xml:space="preserve"> is charged with "Persecutions" as a Crime </w:t>
      </w:r>
      <w:proofErr w:type="gramStart"/>
      <w:r w:rsidRPr="009D0634">
        <w:rPr>
          <w:rFonts w:ascii="Times" w:hAnsi="Times" w:cs="Helvetica"/>
          <w:color w:val="10131A"/>
        </w:rPr>
        <w:t>Against</w:t>
      </w:r>
      <w:proofErr w:type="gramEnd"/>
      <w:r w:rsidRPr="009D0634">
        <w:rPr>
          <w:rFonts w:ascii="Times" w:hAnsi="Times" w:cs="Helvetica"/>
          <w:color w:val="10131A"/>
        </w:rPr>
        <w:t xml:space="preserve"> Humanity, including murder, torture, and deportation.</w:t>
      </w:r>
      <w:r w:rsidR="00B65479" w:rsidRPr="009D0634">
        <w:rPr>
          <w:rFonts w:ascii="Times" w:hAnsi="Times" w:cs="Helvetica"/>
          <w:color w:val="10131A"/>
          <w:vertAlign w:val="superscript"/>
        </w:rPr>
        <w:t>4</w:t>
      </w:r>
    </w:p>
    <w:p w:rsidR="005C79C9" w:rsidRPr="009D0634" w:rsidRDefault="005C79C9" w:rsidP="005C79C9">
      <w:pPr>
        <w:rPr>
          <w:rFonts w:ascii="Times" w:hAnsi="Times" w:cs="Helvetica"/>
          <w:color w:val="10131A"/>
        </w:rPr>
      </w:pPr>
    </w:p>
    <w:p w:rsidR="005C79C9" w:rsidRPr="009D0634" w:rsidRDefault="005C79C9" w:rsidP="005C79C9">
      <w:pPr>
        <w:rPr>
          <w:rFonts w:ascii="Times" w:hAnsi="Times" w:cs="Helvetica"/>
          <w:color w:val="10131A"/>
        </w:rPr>
      </w:pPr>
      <w:r w:rsidRPr="009D0634">
        <w:rPr>
          <w:rFonts w:ascii="Times" w:hAnsi="Times" w:cs="Helvetica"/>
          <w:color w:val="10131A"/>
        </w:rPr>
        <w:t xml:space="preserve">There is no doubt that the work of the ICTY is profoundly important, but </w:t>
      </w:r>
      <w:proofErr w:type="spellStart"/>
      <w:r w:rsidRPr="009D0634">
        <w:rPr>
          <w:rFonts w:ascii="Times" w:hAnsi="Times" w:cs="Helvetica"/>
          <w:color w:val="10131A"/>
        </w:rPr>
        <w:t>Šešelj's</w:t>
      </w:r>
      <w:proofErr w:type="spellEnd"/>
      <w:r w:rsidRPr="009D0634">
        <w:rPr>
          <w:rFonts w:ascii="Times" w:hAnsi="Times" w:cs="Helvetica"/>
          <w:color w:val="10131A"/>
        </w:rPr>
        <w:t xml:space="preserve"> release indicates the troubling limits of the judgments of the Court. For example, even if Radovan </w:t>
      </w:r>
      <w:proofErr w:type="spellStart"/>
      <w:r w:rsidRPr="009D0634">
        <w:rPr>
          <w:rFonts w:ascii="Times" w:hAnsi="Times" w:cs="Helvetica"/>
          <w:color w:val="10131A"/>
        </w:rPr>
        <w:t>Karadžić</w:t>
      </w:r>
      <w:proofErr w:type="spellEnd"/>
      <w:r w:rsidRPr="009D0634">
        <w:rPr>
          <w:rFonts w:ascii="Times" w:hAnsi="Times" w:cs="Helvetica"/>
          <w:color w:val="10131A"/>
        </w:rPr>
        <w:t xml:space="preserve"> would be convicted on both counts of Genocide, the entity of </w:t>
      </w:r>
      <w:proofErr w:type="spellStart"/>
      <w:r w:rsidRPr="009D0634">
        <w:rPr>
          <w:rFonts w:ascii="Times" w:hAnsi="Times" w:cs="Helvetica"/>
          <w:color w:val="10131A"/>
        </w:rPr>
        <w:t>Republika</w:t>
      </w:r>
      <w:proofErr w:type="spellEnd"/>
      <w:r w:rsidRPr="009D0634">
        <w:rPr>
          <w:rFonts w:ascii="Times" w:hAnsi="Times" w:cs="Helvetica"/>
          <w:color w:val="10131A"/>
        </w:rPr>
        <w:t xml:space="preserve"> </w:t>
      </w:r>
      <w:proofErr w:type="spellStart"/>
      <w:r w:rsidRPr="009D0634">
        <w:rPr>
          <w:rFonts w:ascii="Times" w:hAnsi="Times" w:cs="Helvetica"/>
          <w:color w:val="10131A"/>
        </w:rPr>
        <w:t>Sprska</w:t>
      </w:r>
      <w:proofErr w:type="spellEnd"/>
      <w:r w:rsidRPr="009D0634">
        <w:rPr>
          <w:rFonts w:ascii="Times" w:hAnsi="Times" w:cs="Helvetica"/>
          <w:color w:val="10131A"/>
        </w:rPr>
        <w:t>, with its political and cultural policies of genocide denial and the glorification of war criminals</w:t>
      </w:r>
      <w:r w:rsidR="00D9142E">
        <w:rPr>
          <w:rFonts w:ascii="Times" w:hAnsi="Times" w:cs="Helvetica"/>
          <w:color w:val="10131A"/>
        </w:rPr>
        <w:t>,</w:t>
      </w:r>
      <w:r w:rsidRPr="009D0634">
        <w:rPr>
          <w:rFonts w:ascii="Times" w:hAnsi="Times" w:cs="Helvetica"/>
          <w:color w:val="10131A"/>
        </w:rPr>
        <w:t xml:space="preserve"> would </w:t>
      </w:r>
      <w:proofErr w:type="gramStart"/>
      <w:r w:rsidRPr="009D0634">
        <w:rPr>
          <w:rFonts w:ascii="Times" w:hAnsi="Times" w:cs="Helvetica"/>
          <w:color w:val="10131A"/>
        </w:rPr>
        <w:t>continue</w:t>
      </w:r>
      <w:proofErr w:type="gramEnd"/>
      <w:r w:rsidRPr="009D0634">
        <w:rPr>
          <w:rFonts w:ascii="Times" w:hAnsi="Times" w:cs="Helvetica"/>
          <w:color w:val="10131A"/>
        </w:rPr>
        <w:t xml:space="preserve"> to exist, thereby circumscribing the limits of judicial processes in matters of justice and human rights. </w:t>
      </w:r>
    </w:p>
    <w:p w:rsidR="005C79C9" w:rsidRPr="009D0634" w:rsidRDefault="005C79C9" w:rsidP="005C79C9">
      <w:pPr>
        <w:rPr>
          <w:rFonts w:ascii="Times" w:hAnsi="Times" w:cs="Helvetica"/>
          <w:color w:val="10131A"/>
        </w:rPr>
      </w:pPr>
    </w:p>
    <w:p w:rsidR="005C79C9" w:rsidRPr="009D0634" w:rsidRDefault="005C79C9" w:rsidP="005C79C9">
      <w:pPr>
        <w:rPr>
          <w:rFonts w:ascii="Times" w:hAnsi="Times" w:cs="Helvetica"/>
          <w:color w:val="10131A"/>
        </w:rPr>
      </w:pPr>
      <w:r w:rsidRPr="009D0634">
        <w:rPr>
          <w:rFonts w:ascii="Times" w:hAnsi="Times" w:cs="Helvetica"/>
          <w:color w:val="10131A"/>
        </w:rPr>
        <w:t xml:space="preserve">In addition to the difficulties of achieving meaningful justice at the ICTY, there are frustrating obstacles to </w:t>
      </w:r>
      <w:proofErr w:type="gramStart"/>
      <w:r w:rsidRPr="009D0634">
        <w:rPr>
          <w:rFonts w:ascii="Times" w:hAnsi="Times" w:cs="Helvetica"/>
          <w:color w:val="10131A"/>
        </w:rPr>
        <w:t>achieving  "</w:t>
      </w:r>
      <w:proofErr w:type="gramEnd"/>
      <w:r w:rsidRPr="009D0634">
        <w:rPr>
          <w:rFonts w:ascii="Times" w:hAnsi="Times" w:cs="Helvetica"/>
          <w:color w:val="10131A"/>
        </w:rPr>
        <w:t xml:space="preserve">justice on the ground" in </w:t>
      </w:r>
      <w:proofErr w:type="spellStart"/>
      <w:r w:rsidRPr="009D0634">
        <w:rPr>
          <w:rFonts w:ascii="Times" w:hAnsi="Times" w:cs="Helvetica"/>
          <w:color w:val="10131A"/>
        </w:rPr>
        <w:t>Republika</w:t>
      </w:r>
      <w:proofErr w:type="spellEnd"/>
      <w:r w:rsidRPr="009D0634">
        <w:rPr>
          <w:rFonts w:ascii="Times" w:hAnsi="Times" w:cs="Helvetica"/>
          <w:color w:val="10131A"/>
        </w:rPr>
        <w:t xml:space="preserve"> </w:t>
      </w:r>
      <w:proofErr w:type="spellStart"/>
      <w:r w:rsidRPr="009D0634">
        <w:rPr>
          <w:rFonts w:ascii="Times" w:hAnsi="Times" w:cs="Helvetica"/>
          <w:color w:val="10131A"/>
        </w:rPr>
        <w:t>Srpska</w:t>
      </w:r>
      <w:proofErr w:type="spellEnd"/>
      <w:r w:rsidRPr="009D0634">
        <w:rPr>
          <w:rFonts w:ascii="Times" w:hAnsi="Times" w:cs="Helvetica"/>
          <w:color w:val="10131A"/>
        </w:rPr>
        <w:t xml:space="preserve">. For example, the authorities in </w:t>
      </w:r>
      <w:proofErr w:type="spellStart"/>
      <w:r w:rsidRPr="009D0634">
        <w:rPr>
          <w:rFonts w:ascii="Times" w:hAnsi="Times" w:cs="Helvetica"/>
          <w:color w:val="10131A"/>
        </w:rPr>
        <w:t>Republika</w:t>
      </w:r>
      <w:proofErr w:type="spellEnd"/>
      <w:r w:rsidRPr="009D0634">
        <w:rPr>
          <w:rFonts w:ascii="Times" w:hAnsi="Times" w:cs="Helvetica"/>
          <w:color w:val="10131A"/>
        </w:rPr>
        <w:t xml:space="preserve"> </w:t>
      </w:r>
      <w:proofErr w:type="spellStart"/>
      <w:r w:rsidRPr="009D0634">
        <w:rPr>
          <w:rFonts w:ascii="Times" w:hAnsi="Times" w:cs="Helvetica"/>
          <w:color w:val="10131A"/>
        </w:rPr>
        <w:t>Srpska</w:t>
      </w:r>
      <w:proofErr w:type="spellEnd"/>
      <w:r w:rsidRPr="009D0634">
        <w:rPr>
          <w:rFonts w:ascii="Times" w:hAnsi="Times" w:cs="Helvetica"/>
          <w:color w:val="10131A"/>
        </w:rPr>
        <w:t xml:space="preserve"> have declared their intention to demolish the </w:t>
      </w:r>
      <w:proofErr w:type="spellStart"/>
      <w:r w:rsidRPr="009D0634">
        <w:rPr>
          <w:rFonts w:ascii="Times" w:hAnsi="Times" w:cs="Helvetica"/>
          <w:color w:val="10131A"/>
        </w:rPr>
        <w:t>Pionirska</w:t>
      </w:r>
      <w:proofErr w:type="spellEnd"/>
      <w:r w:rsidRPr="009D0634">
        <w:rPr>
          <w:rFonts w:ascii="Times" w:hAnsi="Times" w:cs="Helvetica"/>
          <w:color w:val="10131A"/>
        </w:rPr>
        <w:t xml:space="preserve"> Street house. The destruction of the house would erase all traces of the crimes that were perpetrated in 1992 when innocent women and children were burned alive both in the </w:t>
      </w:r>
      <w:proofErr w:type="spellStart"/>
      <w:r w:rsidRPr="009D0634">
        <w:rPr>
          <w:rFonts w:ascii="Times" w:hAnsi="Times" w:cs="Helvetica"/>
          <w:color w:val="10131A"/>
        </w:rPr>
        <w:t>Bikavac</w:t>
      </w:r>
      <w:proofErr w:type="spellEnd"/>
      <w:r w:rsidRPr="009D0634">
        <w:rPr>
          <w:rFonts w:ascii="Times" w:hAnsi="Times" w:cs="Helvetica"/>
          <w:color w:val="10131A"/>
        </w:rPr>
        <w:t xml:space="preserve"> neighborhood and in the </w:t>
      </w:r>
      <w:proofErr w:type="spellStart"/>
      <w:r w:rsidRPr="009D0634">
        <w:rPr>
          <w:rFonts w:ascii="Times" w:hAnsi="Times" w:cs="Helvetica"/>
          <w:color w:val="10131A"/>
        </w:rPr>
        <w:t>Pionirska</w:t>
      </w:r>
      <w:proofErr w:type="spellEnd"/>
      <w:r w:rsidRPr="009D0634">
        <w:rPr>
          <w:rFonts w:ascii="Times" w:hAnsi="Times" w:cs="Helvetica"/>
          <w:color w:val="10131A"/>
        </w:rPr>
        <w:t xml:space="preserve"> Street house. These were crimes, it must be said, that were described by the ICTY </w:t>
      </w:r>
      <w:r w:rsidRPr="009D0634">
        <w:rPr>
          <w:rFonts w:ascii="Times" w:hAnsi="Times" w:cs="Garamond"/>
        </w:rPr>
        <w:t>as "the worst acts of inhumanity that a person may inflict upon others."</w:t>
      </w:r>
      <w:r w:rsidR="00B65479" w:rsidRPr="009D0634">
        <w:rPr>
          <w:rFonts w:ascii="Times" w:hAnsi="Times" w:cs="Garamond"/>
          <w:vertAlign w:val="superscript"/>
        </w:rPr>
        <w:t>5</w:t>
      </w:r>
    </w:p>
    <w:p w:rsidR="005C79C9" w:rsidRPr="009D0634" w:rsidRDefault="005C79C9" w:rsidP="005C79C9">
      <w:pPr>
        <w:rPr>
          <w:rFonts w:ascii="Times" w:hAnsi="Times" w:cs="Helvetica"/>
          <w:color w:val="10131A"/>
        </w:rPr>
      </w:pPr>
    </w:p>
    <w:p w:rsidR="005C79C9" w:rsidRPr="009D0634" w:rsidRDefault="005C79C9" w:rsidP="005C79C9">
      <w:pPr>
        <w:rPr>
          <w:rFonts w:ascii="Times" w:hAnsi="Times" w:cs="Helvetica"/>
          <w:color w:val="10131A"/>
        </w:rPr>
      </w:pPr>
      <w:r w:rsidRPr="009D0634">
        <w:rPr>
          <w:rFonts w:ascii="Times" w:hAnsi="Times" w:cs="Helvetica"/>
          <w:color w:val="10131A"/>
        </w:rPr>
        <w:t xml:space="preserve">Nonetheless, the authorities in </w:t>
      </w:r>
      <w:proofErr w:type="spellStart"/>
      <w:r w:rsidRPr="009D0634">
        <w:rPr>
          <w:rFonts w:ascii="Times" w:hAnsi="Times" w:cs="Helvetica"/>
          <w:color w:val="10131A"/>
        </w:rPr>
        <w:t>Republika</w:t>
      </w:r>
      <w:proofErr w:type="spellEnd"/>
      <w:r w:rsidRPr="009D0634">
        <w:rPr>
          <w:rFonts w:ascii="Times" w:hAnsi="Times" w:cs="Helvetica"/>
          <w:color w:val="10131A"/>
        </w:rPr>
        <w:t xml:space="preserve"> </w:t>
      </w:r>
      <w:proofErr w:type="spellStart"/>
      <w:r w:rsidRPr="009D0634">
        <w:rPr>
          <w:rFonts w:ascii="Times" w:hAnsi="Times" w:cs="Helvetica"/>
          <w:color w:val="10131A"/>
        </w:rPr>
        <w:t>Srpska</w:t>
      </w:r>
      <w:proofErr w:type="spellEnd"/>
      <w:r w:rsidRPr="009D0634">
        <w:rPr>
          <w:rFonts w:ascii="Times" w:hAnsi="Times" w:cs="Helvetica"/>
          <w:color w:val="10131A"/>
        </w:rPr>
        <w:t xml:space="preserve"> have designated the </w:t>
      </w:r>
      <w:proofErr w:type="spellStart"/>
      <w:r w:rsidRPr="009D0634">
        <w:rPr>
          <w:rFonts w:ascii="Times" w:hAnsi="Times" w:cs="Helvetica"/>
          <w:color w:val="10131A"/>
        </w:rPr>
        <w:t>Pionirska</w:t>
      </w:r>
      <w:proofErr w:type="spellEnd"/>
      <w:r w:rsidRPr="009D0634">
        <w:rPr>
          <w:rFonts w:ascii="Times" w:hAnsi="Times" w:cs="Helvetica"/>
          <w:color w:val="10131A"/>
        </w:rPr>
        <w:t xml:space="preserve"> Street house for demolition as part of a municipal road construction project, even though the foundation of the house is quite obviously far removed from the adjacent roadbed.  A "red tape" was placed around the house by the authorities, announcing the condemnation of the property and prohibiting access. </w:t>
      </w:r>
    </w:p>
    <w:p w:rsidR="005C79C9" w:rsidRPr="009D0634" w:rsidRDefault="005C79C9" w:rsidP="005C79C9">
      <w:pPr>
        <w:rPr>
          <w:rFonts w:ascii="Times" w:hAnsi="Times" w:cs="Helvetica"/>
          <w:color w:val="10131A"/>
        </w:rPr>
      </w:pPr>
    </w:p>
    <w:p w:rsidR="005C79C9" w:rsidRPr="009D0634" w:rsidRDefault="005C79C9" w:rsidP="005C79C9">
      <w:pPr>
        <w:rPr>
          <w:rFonts w:ascii="Times" w:hAnsi="Times" w:cs="Helvetica"/>
          <w:color w:val="10131A"/>
        </w:rPr>
      </w:pPr>
      <w:r w:rsidRPr="009D0634">
        <w:rPr>
          <w:rFonts w:ascii="Times" w:hAnsi="Times" w:cs="Helvetica"/>
          <w:color w:val="10131A"/>
        </w:rPr>
        <w:t xml:space="preserve">In response to the plans to destroy the house and erase any evidence of the crimes, Mrs. Bakira Hasečić, President of the Association of Women Victims of War, organized an effort to restore the </w:t>
      </w:r>
      <w:proofErr w:type="spellStart"/>
      <w:r w:rsidRPr="009D0634">
        <w:rPr>
          <w:rFonts w:ascii="Times" w:hAnsi="Times" w:cs="Helvetica"/>
          <w:color w:val="10131A"/>
        </w:rPr>
        <w:t>Pionirska</w:t>
      </w:r>
      <w:proofErr w:type="spellEnd"/>
      <w:r w:rsidRPr="009D0634">
        <w:rPr>
          <w:rFonts w:ascii="Times" w:hAnsi="Times" w:cs="Helvetica"/>
          <w:color w:val="10131A"/>
        </w:rPr>
        <w:t xml:space="preserve"> Street house, a restoration that was to include a memorial museum for the victims in the basement where they were viciously murdered. Mrs. </w:t>
      </w:r>
      <w:proofErr w:type="spellStart"/>
      <w:r w:rsidRPr="009D0634">
        <w:rPr>
          <w:rFonts w:ascii="Times" w:hAnsi="Times" w:cs="Helvetica"/>
          <w:color w:val="10131A"/>
        </w:rPr>
        <w:t>Hasečić's</w:t>
      </w:r>
      <w:proofErr w:type="spellEnd"/>
      <w:r w:rsidRPr="009D0634">
        <w:rPr>
          <w:rFonts w:ascii="Times" w:hAnsi="Times" w:cs="Helvetica"/>
          <w:color w:val="10131A"/>
        </w:rPr>
        <w:t xml:space="preserve"> efforts, however, led to her being the target of criminal investigations for "illegal construction," and for crossing the "red tape," or, what could be termed the "red line." </w:t>
      </w:r>
    </w:p>
    <w:p w:rsidR="005C79C9" w:rsidRPr="009D0634" w:rsidRDefault="005C79C9" w:rsidP="005C79C9">
      <w:pPr>
        <w:rPr>
          <w:rFonts w:ascii="Times" w:hAnsi="Times" w:cs="Helvetica"/>
          <w:color w:val="10131A"/>
        </w:rPr>
      </w:pPr>
    </w:p>
    <w:p w:rsidR="005C79C9" w:rsidRPr="009D0634" w:rsidRDefault="005C79C9" w:rsidP="005C79C9">
      <w:pPr>
        <w:rPr>
          <w:rFonts w:ascii="Times" w:hAnsi="Times" w:cs="Helvetica"/>
          <w:color w:val="10131A"/>
        </w:rPr>
      </w:pPr>
      <w:r w:rsidRPr="009D0634">
        <w:rPr>
          <w:rFonts w:ascii="Times" w:hAnsi="Times" w:cs="Helvetica"/>
          <w:color w:val="10131A"/>
        </w:rPr>
        <w:t xml:space="preserve">At this point the final appeal to prevent the destruction of the house has been exhausted and Mrs. Hasečić is still being targeted for investigation and prosecution. Thus, Mrs. Hasečić is being targeted and persecuted a second time: she was first targeted and persecuted in 1992 as a result of the genocidal policies of Mr. </w:t>
      </w:r>
      <w:proofErr w:type="spellStart"/>
      <w:r w:rsidRPr="009D0634">
        <w:rPr>
          <w:rFonts w:ascii="Times" w:hAnsi="Times" w:cs="Helvetica"/>
          <w:color w:val="10131A"/>
        </w:rPr>
        <w:t>Šešelj</w:t>
      </w:r>
      <w:proofErr w:type="spellEnd"/>
      <w:r w:rsidRPr="009D0634">
        <w:rPr>
          <w:rFonts w:ascii="Times" w:hAnsi="Times" w:cs="Helvetica"/>
          <w:color w:val="10131A"/>
        </w:rPr>
        <w:t xml:space="preserve"> and Mr. </w:t>
      </w:r>
      <w:proofErr w:type="spellStart"/>
      <w:r w:rsidRPr="009D0634">
        <w:rPr>
          <w:rFonts w:ascii="Times" w:hAnsi="Times" w:cs="Helvetica"/>
          <w:color w:val="10131A"/>
        </w:rPr>
        <w:t>Karadžić</w:t>
      </w:r>
      <w:proofErr w:type="spellEnd"/>
      <w:r w:rsidRPr="009D0634">
        <w:rPr>
          <w:rFonts w:ascii="Times" w:hAnsi="Times" w:cs="Helvetica"/>
          <w:color w:val="10131A"/>
        </w:rPr>
        <w:t xml:space="preserve">, and now she is targeted and persecuted </w:t>
      </w:r>
      <w:r w:rsidRPr="009D0634">
        <w:rPr>
          <w:rFonts w:ascii="Times" w:hAnsi="Times" w:cs="Helvetica"/>
          <w:color w:val="10131A"/>
        </w:rPr>
        <w:lastRenderedPageBreak/>
        <w:t xml:space="preserve">once again as part of the apartheid politics of </w:t>
      </w:r>
      <w:proofErr w:type="spellStart"/>
      <w:r w:rsidRPr="009D0634">
        <w:rPr>
          <w:rFonts w:ascii="Times" w:hAnsi="Times" w:cs="Helvetica"/>
          <w:color w:val="10131A"/>
        </w:rPr>
        <w:t>Republika</w:t>
      </w:r>
      <w:proofErr w:type="spellEnd"/>
      <w:r w:rsidRPr="009D0634">
        <w:rPr>
          <w:rFonts w:ascii="Times" w:hAnsi="Times" w:cs="Helvetica"/>
          <w:color w:val="10131A"/>
        </w:rPr>
        <w:t xml:space="preserve"> </w:t>
      </w:r>
      <w:proofErr w:type="spellStart"/>
      <w:r w:rsidRPr="009D0634">
        <w:rPr>
          <w:rFonts w:ascii="Times" w:hAnsi="Times" w:cs="Helvetica"/>
          <w:color w:val="10131A"/>
        </w:rPr>
        <w:t>Srpska</w:t>
      </w:r>
      <w:proofErr w:type="spellEnd"/>
      <w:r w:rsidRPr="009D0634">
        <w:rPr>
          <w:rFonts w:ascii="Times" w:hAnsi="Times" w:cs="Helvetica"/>
          <w:color w:val="10131A"/>
        </w:rPr>
        <w:t>; apartheid politics masquerading as the "rule of law."</w:t>
      </w:r>
    </w:p>
    <w:p w:rsidR="005C79C9" w:rsidRPr="009D0634" w:rsidRDefault="005C79C9" w:rsidP="005C79C9">
      <w:pPr>
        <w:rPr>
          <w:rFonts w:ascii="Times" w:hAnsi="Times" w:cs="Helvetica"/>
          <w:color w:val="10131A"/>
        </w:rPr>
      </w:pPr>
    </w:p>
    <w:p w:rsidR="005C79C9" w:rsidRPr="009D0634" w:rsidRDefault="005C79C9" w:rsidP="005C79C9">
      <w:pPr>
        <w:rPr>
          <w:rFonts w:ascii="Times" w:hAnsi="Times" w:cs="Helvetica"/>
          <w:color w:val="10131A"/>
        </w:rPr>
      </w:pPr>
      <w:r w:rsidRPr="009D0634">
        <w:rPr>
          <w:rFonts w:ascii="Times" w:hAnsi="Times" w:cs="Helvetica"/>
          <w:color w:val="10131A"/>
        </w:rPr>
        <w:t xml:space="preserve">On March 18, 2014, I crossed the "red line" of the "red tape" at the </w:t>
      </w:r>
      <w:proofErr w:type="spellStart"/>
      <w:r w:rsidRPr="009D0634">
        <w:rPr>
          <w:rFonts w:ascii="Times" w:hAnsi="Times" w:cs="Helvetica"/>
          <w:color w:val="10131A"/>
        </w:rPr>
        <w:t>Pionirska</w:t>
      </w:r>
      <w:proofErr w:type="spellEnd"/>
      <w:r w:rsidRPr="009D0634">
        <w:rPr>
          <w:rFonts w:ascii="Times" w:hAnsi="Times" w:cs="Helvetica"/>
          <w:color w:val="10131A"/>
        </w:rPr>
        <w:t xml:space="preserve"> Street house in solidarity with Mrs. Hasečić, in order to respect and honor the memory of the victims of the crime, one of two crimes that the International Criminal Court insisted, </w:t>
      </w:r>
      <w:r w:rsidRPr="009D0634">
        <w:rPr>
          <w:rFonts w:ascii="Times" w:hAnsi="Times" w:cs="Times"/>
        </w:rPr>
        <w:t>stand out "for the viciousness of the incendiary attack, for the obvious premeditation and calculation that defined it, for the sheer callousness and brutality of herding, trapping and locking the victims in the two houses, thereby rendering them helpless in the ensuing inferno, and for the degree of pain and suffering inflicted on the victims as they were burnt alive."</w:t>
      </w:r>
      <w:r w:rsidR="00B65479" w:rsidRPr="009D0634">
        <w:rPr>
          <w:rFonts w:ascii="Times" w:hAnsi="Times" w:cs="Helvetica"/>
          <w:color w:val="10131A"/>
          <w:vertAlign w:val="superscript"/>
        </w:rPr>
        <w:t>6</w:t>
      </w:r>
      <w:r w:rsidRPr="009D0634">
        <w:rPr>
          <w:rFonts w:ascii="Times" w:hAnsi="Times" w:cs="Helvetica"/>
          <w:color w:val="10131A"/>
        </w:rPr>
        <w:t xml:space="preserve"> The question </w:t>
      </w:r>
      <w:proofErr w:type="gramStart"/>
      <w:r w:rsidRPr="009D0634">
        <w:rPr>
          <w:rFonts w:ascii="Times" w:hAnsi="Times" w:cs="Helvetica"/>
          <w:color w:val="10131A"/>
        </w:rPr>
        <w:t>now,</w:t>
      </w:r>
      <w:proofErr w:type="gramEnd"/>
      <w:r w:rsidRPr="009D0634">
        <w:rPr>
          <w:rFonts w:ascii="Times" w:hAnsi="Times" w:cs="Helvetica"/>
          <w:color w:val="10131A"/>
        </w:rPr>
        <w:t xml:space="preserve"> is whether, as Vojislav </w:t>
      </w:r>
      <w:proofErr w:type="spellStart"/>
      <w:r w:rsidRPr="009D0634">
        <w:rPr>
          <w:rFonts w:ascii="Times" w:hAnsi="Times" w:cs="Helvetica"/>
          <w:color w:val="10131A"/>
        </w:rPr>
        <w:t>Šešelj</w:t>
      </w:r>
      <w:proofErr w:type="spellEnd"/>
      <w:r w:rsidRPr="009D0634">
        <w:rPr>
          <w:rFonts w:ascii="Times" w:hAnsi="Times" w:cs="Helvetica"/>
          <w:color w:val="10131A"/>
        </w:rPr>
        <w:t xml:space="preserve"> is receiving a hero's welcome in Belgrade and is affirming the ideology of a "Greater Serbia," the international community will find the resolve to support Mrs. Hasečić and to save the </w:t>
      </w:r>
      <w:proofErr w:type="spellStart"/>
      <w:r w:rsidRPr="009D0634">
        <w:rPr>
          <w:rFonts w:ascii="Times" w:hAnsi="Times" w:cs="Helvetica"/>
          <w:color w:val="10131A"/>
        </w:rPr>
        <w:t>Pionirska</w:t>
      </w:r>
      <w:proofErr w:type="spellEnd"/>
      <w:r w:rsidRPr="009D0634">
        <w:rPr>
          <w:rFonts w:ascii="Times" w:hAnsi="Times" w:cs="Helvetica"/>
          <w:color w:val="10131A"/>
        </w:rPr>
        <w:t xml:space="preserve"> Street house from demolition.</w:t>
      </w:r>
    </w:p>
    <w:p w:rsidR="005C79C9" w:rsidRPr="009D0634" w:rsidRDefault="005C79C9" w:rsidP="005C79C9">
      <w:pPr>
        <w:rPr>
          <w:rFonts w:ascii="Times" w:hAnsi="Times" w:cs="Helvetica"/>
          <w:color w:val="10131A"/>
        </w:rPr>
      </w:pPr>
    </w:p>
    <w:p w:rsidR="005C79C9" w:rsidRPr="009D0634" w:rsidRDefault="005C79C9" w:rsidP="005C79C9">
      <w:pPr>
        <w:rPr>
          <w:rFonts w:ascii="Times" w:hAnsi="Times" w:cs="Helvetica"/>
          <w:color w:val="10131A"/>
        </w:rPr>
      </w:pPr>
      <w:r w:rsidRPr="009D0634">
        <w:rPr>
          <w:rFonts w:ascii="Times" w:hAnsi="Times" w:cs="Helvetica"/>
          <w:color w:val="10131A"/>
        </w:rPr>
        <w:t xml:space="preserve">In his comments in Prague on October 30, 2014, the High Representative </w:t>
      </w:r>
      <w:proofErr w:type="spellStart"/>
      <w:r w:rsidRPr="009D0634">
        <w:rPr>
          <w:rFonts w:ascii="Times" w:hAnsi="Times" w:cs="Helvetica"/>
          <w:color w:val="10131A"/>
        </w:rPr>
        <w:t>Valentin</w:t>
      </w:r>
      <w:proofErr w:type="spellEnd"/>
      <w:r w:rsidRPr="009D0634">
        <w:rPr>
          <w:rFonts w:ascii="Times" w:hAnsi="Times" w:cs="Helvetica"/>
          <w:color w:val="10131A"/>
        </w:rPr>
        <w:t xml:space="preserve"> </w:t>
      </w:r>
      <w:proofErr w:type="spellStart"/>
      <w:r w:rsidRPr="009D0634">
        <w:rPr>
          <w:rFonts w:ascii="Times" w:hAnsi="Times" w:cs="Helvetica"/>
          <w:color w:val="10131A"/>
        </w:rPr>
        <w:t>Inzko</w:t>
      </w:r>
      <w:proofErr w:type="spellEnd"/>
      <w:r w:rsidRPr="009D0634">
        <w:rPr>
          <w:rFonts w:ascii="Times" w:hAnsi="Times" w:cs="Helvetica"/>
          <w:color w:val="10131A"/>
        </w:rPr>
        <w:t xml:space="preserve"> stated that "the international community needs to change" and that it must be "much more united," and "more prescriptive" in Bosnia and Herzegovina.  The High Representative insisted that </w:t>
      </w:r>
      <w:proofErr w:type="spellStart"/>
      <w:r w:rsidRPr="009D0634">
        <w:rPr>
          <w:rFonts w:ascii="Times" w:hAnsi="Times" w:cs="Helvetica"/>
          <w:color w:val="10131A"/>
        </w:rPr>
        <w:t>Republika</w:t>
      </w:r>
      <w:proofErr w:type="spellEnd"/>
      <w:r w:rsidRPr="009D0634">
        <w:rPr>
          <w:rFonts w:ascii="Times" w:hAnsi="Times" w:cs="Helvetica"/>
          <w:color w:val="10131A"/>
        </w:rPr>
        <w:t xml:space="preserve"> </w:t>
      </w:r>
      <w:proofErr w:type="spellStart"/>
      <w:r w:rsidRPr="009D0634">
        <w:rPr>
          <w:rFonts w:ascii="Times" w:hAnsi="Times" w:cs="Helvetica"/>
          <w:color w:val="10131A"/>
        </w:rPr>
        <w:t>Srpska</w:t>
      </w:r>
      <w:proofErr w:type="spellEnd"/>
      <w:r w:rsidRPr="009D0634">
        <w:rPr>
          <w:rFonts w:ascii="Times" w:hAnsi="Times" w:cs="Helvetica"/>
          <w:color w:val="10131A"/>
        </w:rPr>
        <w:t xml:space="preserve"> would not be allowed to secede and that Srebrenica would never be situated in a separate country.</w:t>
      </w:r>
      <w:r w:rsidR="00B65479" w:rsidRPr="009D0634">
        <w:rPr>
          <w:rFonts w:ascii="Times" w:hAnsi="Times" w:cs="Helvetica"/>
          <w:color w:val="10131A"/>
          <w:vertAlign w:val="superscript"/>
        </w:rPr>
        <w:t>7</w:t>
      </w:r>
      <w:r w:rsidRPr="009D0634">
        <w:rPr>
          <w:rFonts w:ascii="Times" w:hAnsi="Times" w:cs="Helvetica"/>
          <w:color w:val="10131A"/>
        </w:rPr>
        <w:t xml:space="preserve"> The High Representative also described genocide denial as "unbelievable," and the glorification of war criminals in </w:t>
      </w:r>
      <w:proofErr w:type="spellStart"/>
      <w:r w:rsidRPr="009D0634">
        <w:rPr>
          <w:rFonts w:ascii="Times" w:hAnsi="Times" w:cs="Helvetica"/>
          <w:color w:val="10131A"/>
        </w:rPr>
        <w:t>Republika</w:t>
      </w:r>
      <w:proofErr w:type="spellEnd"/>
      <w:r w:rsidRPr="009D0634">
        <w:rPr>
          <w:rFonts w:ascii="Times" w:hAnsi="Times" w:cs="Helvetica"/>
          <w:color w:val="10131A"/>
        </w:rPr>
        <w:t xml:space="preserve"> </w:t>
      </w:r>
      <w:proofErr w:type="spellStart"/>
      <w:r w:rsidRPr="009D0634">
        <w:rPr>
          <w:rFonts w:ascii="Times" w:hAnsi="Times" w:cs="Helvetica"/>
          <w:color w:val="10131A"/>
        </w:rPr>
        <w:t>Srpska</w:t>
      </w:r>
      <w:proofErr w:type="spellEnd"/>
      <w:r w:rsidRPr="009D0634">
        <w:rPr>
          <w:rFonts w:ascii="Times" w:hAnsi="Times" w:cs="Helvetica"/>
          <w:color w:val="10131A"/>
        </w:rPr>
        <w:t xml:space="preserve"> as simply "unacceptable." Such a glorification of war criminals </w:t>
      </w:r>
      <w:r w:rsidR="00AE5E1A" w:rsidRPr="009D0634">
        <w:rPr>
          <w:rFonts w:ascii="Times" w:hAnsi="Times" w:cs="Helvetica"/>
          <w:color w:val="10131A"/>
        </w:rPr>
        <w:t>is</w:t>
      </w:r>
      <w:r w:rsidR="00AE5E1A">
        <w:rPr>
          <w:rFonts w:ascii="Times" w:hAnsi="Times" w:cs="Helvetica"/>
          <w:color w:val="10131A"/>
        </w:rPr>
        <w:t xml:space="preserve"> equivalent</w:t>
      </w:r>
      <w:r w:rsidR="00AE5E1A" w:rsidRPr="009D0634">
        <w:rPr>
          <w:rFonts w:ascii="Times" w:hAnsi="Times" w:cs="Helvetica"/>
          <w:color w:val="10131A"/>
        </w:rPr>
        <w:t xml:space="preserve">, in his opinion, </w:t>
      </w:r>
      <w:r w:rsidR="00AE5E1A">
        <w:rPr>
          <w:rFonts w:ascii="Times" w:hAnsi="Times" w:cs="Helvetica"/>
          <w:color w:val="10131A"/>
        </w:rPr>
        <w:t xml:space="preserve">to </w:t>
      </w:r>
      <w:r w:rsidRPr="009D0634">
        <w:rPr>
          <w:rFonts w:ascii="Times" w:hAnsi="Times" w:cs="Helvetica"/>
          <w:color w:val="10131A"/>
        </w:rPr>
        <w:t>"hate speech." He emphasized that Bosnia and Herzegovina needs</w:t>
      </w:r>
      <w:r w:rsidR="00232AF6">
        <w:rPr>
          <w:rFonts w:ascii="Times" w:hAnsi="Times" w:cs="Helvetica"/>
          <w:color w:val="10131A"/>
        </w:rPr>
        <w:t xml:space="preserve"> to enact</w:t>
      </w:r>
      <w:r w:rsidRPr="009D0634">
        <w:rPr>
          <w:rFonts w:ascii="Times" w:hAnsi="Times" w:cs="Helvetica"/>
          <w:color w:val="10131A"/>
        </w:rPr>
        <w:t xml:space="preserve"> laws against genocide denial and hate speech.</w:t>
      </w:r>
      <w:r w:rsidR="00B65479" w:rsidRPr="009D0634">
        <w:rPr>
          <w:rFonts w:ascii="Times" w:hAnsi="Times" w:cs="Helvetica"/>
          <w:color w:val="10131A"/>
          <w:vertAlign w:val="superscript"/>
        </w:rPr>
        <w:t>8</w:t>
      </w:r>
    </w:p>
    <w:p w:rsidR="005C79C9" w:rsidRPr="009D0634" w:rsidRDefault="005C79C9" w:rsidP="005C79C9">
      <w:pPr>
        <w:rPr>
          <w:rFonts w:ascii="Times" w:hAnsi="Times" w:cs="Helvetica"/>
          <w:color w:val="10131A"/>
        </w:rPr>
      </w:pPr>
    </w:p>
    <w:p w:rsidR="00F710FE" w:rsidRPr="009D0634" w:rsidRDefault="005C79C9" w:rsidP="00F710FE">
      <w:pPr>
        <w:rPr>
          <w:rFonts w:ascii="Times" w:hAnsi="Times" w:cs="Helvetica"/>
          <w:color w:val="10131A"/>
        </w:rPr>
      </w:pPr>
      <w:r w:rsidRPr="009D0634">
        <w:rPr>
          <w:rFonts w:ascii="Times" w:hAnsi="Times" w:cs="Helvetica"/>
          <w:color w:val="10131A"/>
        </w:rPr>
        <w:t xml:space="preserve">In response to </w:t>
      </w:r>
      <w:proofErr w:type="spellStart"/>
      <w:r w:rsidRPr="009D0634">
        <w:rPr>
          <w:rFonts w:ascii="Times" w:hAnsi="Times" w:cs="Helvetica"/>
          <w:color w:val="10131A"/>
        </w:rPr>
        <w:t>Šešelj's</w:t>
      </w:r>
      <w:proofErr w:type="spellEnd"/>
      <w:r w:rsidRPr="009D0634">
        <w:rPr>
          <w:rFonts w:ascii="Times" w:hAnsi="Times" w:cs="Helvetica"/>
          <w:color w:val="10131A"/>
        </w:rPr>
        <w:t xml:space="preserve"> release from </w:t>
      </w:r>
      <w:proofErr w:type="gramStart"/>
      <w:r w:rsidRPr="009D0634">
        <w:rPr>
          <w:rFonts w:ascii="Times" w:hAnsi="Times" w:cs="Helvetica"/>
          <w:color w:val="10131A"/>
        </w:rPr>
        <w:t>the</w:t>
      </w:r>
      <w:proofErr w:type="gramEnd"/>
      <w:r w:rsidRPr="009D0634">
        <w:rPr>
          <w:rFonts w:ascii="Times" w:hAnsi="Times" w:cs="Helvetica"/>
          <w:color w:val="10131A"/>
        </w:rPr>
        <w:t xml:space="preserve"> Hague, and to his avowal of </w:t>
      </w:r>
      <w:proofErr w:type="spellStart"/>
      <w:r w:rsidRPr="009D0634">
        <w:rPr>
          <w:rFonts w:ascii="Times" w:hAnsi="Times" w:cs="Helvetica"/>
          <w:color w:val="10131A"/>
        </w:rPr>
        <w:t>ultranationalism</w:t>
      </w:r>
      <w:proofErr w:type="spellEnd"/>
      <w:r w:rsidRPr="009D0634">
        <w:rPr>
          <w:rFonts w:ascii="Times" w:hAnsi="Times" w:cs="Helvetica"/>
          <w:color w:val="10131A"/>
        </w:rPr>
        <w:t xml:space="preserve"> and hate speech, let us </w:t>
      </w:r>
      <w:r w:rsidR="00E269F9">
        <w:rPr>
          <w:rFonts w:ascii="Times" w:hAnsi="Times" w:cs="Helvetica"/>
          <w:color w:val="10131A"/>
        </w:rPr>
        <w:t>seek</w:t>
      </w:r>
      <w:r w:rsidRPr="009D0634">
        <w:rPr>
          <w:rFonts w:ascii="Times" w:hAnsi="Times" w:cs="Helvetica"/>
          <w:color w:val="10131A"/>
        </w:rPr>
        <w:t xml:space="preserve"> justice on the ground in </w:t>
      </w:r>
      <w:proofErr w:type="spellStart"/>
      <w:r w:rsidRPr="009D0634">
        <w:rPr>
          <w:rFonts w:ascii="Times" w:hAnsi="Times" w:cs="Helvetica"/>
          <w:color w:val="10131A"/>
        </w:rPr>
        <w:t>Republika</w:t>
      </w:r>
      <w:proofErr w:type="spellEnd"/>
      <w:r w:rsidRPr="009D0634">
        <w:rPr>
          <w:rFonts w:ascii="Times" w:hAnsi="Times" w:cs="Helvetica"/>
          <w:color w:val="10131A"/>
        </w:rPr>
        <w:t xml:space="preserve"> </w:t>
      </w:r>
      <w:proofErr w:type="spellStart"/>
      <w:r w:rsidRPr="009D0634">
        <w:rPr>
          <w:rFonts w:ascii="Times" w:hAnsi="Times" w:cs="Helvetica"/>
          <w:color w:val="10131A"/>
        </w:rPr>
        <w:t>Srpska</w:t>
      </w:r>
      <w:proofErr w:type="spellEnd"/>
      <w:r w:rsidRPr="009D0634">
        <w:rPr>
          <w:rFonts w:ascii="Times" w:hAnsi="Times" w:cs="Helvetica"/>
          <w:color w:val="10131A"/>
        </w:rPr>
        <w:t>. If the right to the freedom of cultural expression guaranteed by the core International Human Rights documents does not include the right to memorialize and mourn the victims of a genocide, and to be protected against discrimination in this regard, then the documents would have no meaning.</w:t>
      </w:r>
      <w:r w:rsidR="00B65479" w:rsidRPr="009D0634">
        <w:rPr>
          <w:rFonts w:ascii="Times" w:hAnsi="Times" w:cs="Helvetica"/>
          <w:color w:val="10131A"/>
          <w:vertAlign w:val="superscript"/>
        </w:rPr>
        <w:t>9</w:t>
      </w:r>
      <w:r w:rsidR="00F710FE">
        <w:rPr>
          <w:rFonts w:ascii="Times" w:hAnsi="Times" w:cs="Helvetica"/>
          <w:color w:val="10131A"/>
          <w:vertAlign w:val="superscript"/>
        </w:rPr>
        <w:t xml:space="preserve"> </w:t>
      </w:r>
      <w:r w:rsidR="00F710FE">
        <w:rPr>
          <w:rFonts w:ascii="Times" w:hAnsi="Times" w:cs="Helvetica"/>
          <w:color w:val="10131A"/>
        </w:rPr>
        <w:t>Survivors</w:t>
      </w:r>
      <w:r w:rsidR="00273379">
        <w:rPr>
          <w:rFonts w:ascii="Times" w:hAnsi="Times" w:cs="Helvetica"/>
          <w:color w:val="10131A"/>
        </w:rPr>
        <w:t xml:space="preserve"> </w:t>
      </w:r>
      <w:r w:rsidR="00F710FE">
        <w:rPr>
          <w:rFonts w:ascii="Times" w:hAnsi="Times" w:cs="Helvetica"/>
          <w:color w:val="10131A"/>
        </w:rPr>
        <w:t xml:space="preserve">have also been prohibited from installing memorials to the victims of atrocities in </w:t>
      </w:r>
      <w:proofErr w:type="spellStart"/>
      <w:r w:rsidR="00F710FE">
        <w:rPr>
          <w:rFonts w:ascii="Times" w:hAnsi="Times" w:cs="Helvetica"/>
          <w:color w:val="10131A"/>
        </w:rPr>
        <w:t>Foča</w:t>
      </w:r>
      <w:proofErr w:type="spellEnd"/>
      <w:r w:rsidR="00F710FE">
        <w:rPr>
          <w:rFonts w:ascii="Times" w:hAnsi="Times" w:cs="Helvetica"/>
          <w:color w:val="10131A"/>
        </w:rPr>
        <w:t xml:space="preserve"> and </w:t>
      </w:r>
      <w:proofErr w:type="spellStart"/>
      <w:r w:rsidR="00F710FE">
        <w:rPr>
          <w:rFonts w:ascii="Times" w:hAnsi="Times" w:cs="Helvetica"/>
          <w:color w:val="10131A"/>
        </w:rPr>
        <w:t>Prijedor</w:t>
      </w:r>
      <w:proofErr w:type="spellEnd"/>
      <w:r w:rsidR="00F710FE">
        <w:rPr>
          <w:rFonts w:ascii="Times" w:hAnsi="Times" w:cs="Helvetica"/>
          <w:color w:val="10131A"/>
        </w:rPr>
        <w:t>.</w:t>
      </w:r>
    </w:p>
    <w:p w:rsidR="005C79C9" w:rsidRPr="009D0634" w:rsidRDefault="005C79C9" w:rsidP="005C79C9">
      <w:pPr>
        <w:rPr>
          <w:rFonts w:ascii="Times" w:hAnsi="Times" w:cs="Helvetica"/>
          <w:color w:val="10131A"/>
        </w:rPr>
      </w:pPr>
    </w:p>
    <w:p w:rsidR="005C79C9" w:rsidRPr="009D0634" w:rsidRDefault="005C79C9" w:rsidP="005C79C9">
      <w:pPr>
        <w:rPr>
          <w:rFonts w:ascii="Times" w:hAnsi="Times" w:cs="Helvetica"/>
          <w:color w:val="10131A"/>
        </w:rPr>
      </w:pPr>
      <w:r w:rsidRPr="009D0634">
        <w:rPr>
          <w:rFonts w:ascii="Times" w:hAnsi="Times" w:cs="Helvetica"/>
          <w:color w:val="10131A"/>
        </w:rPr>
        <w:t xml:space="preserve">Accordingly, in the spirit of Mr. </w:t>
      </w:r>
      <w:proofErr w:type="spellStart"/>
      <w:r w:rsidRPr="009D0634">
        <w:rPr>
          <w:rFonts w:ascii="Times" w:hAnsi="Times" w:cs="Helvetica"/>
          <w:color w:val="10131A"/>
        </w:rPr>
        <w:t>Inzko's</w:t>
      </w:r>
      <w:proofErr w:type="spellEnd"/>
      <w:r w:rsidRPr="009D0634">
        <w:rPr>
          <w:rFonts w:ascii="Times" w:hAnsi="Times" w:cs="Helvetica"/>
          <w:color w:val="10131A"/>
        </w:rPr>
        <w:t xml:space="preserve"> recent comments in Prague, I invite the High Representative and representatives of the international community to join me in crossing and defying</w:t>
      </w:r>
      <w:r w:rsidRPr="009D0634">
        <w:rPr>
          <w:rFonts w:ascii="Times" w:hAnsi="Times" w:cs="Helvetica"/>
          <w:i/>
          <w:color w:val="10131A"/>
        </w:rPr>
        <w:t xml:space="preserve"> </w:t>
      </w:r>
      <w:r w:rsidRPr="009D0634">
        <w:rPr>
          <w:rFonts w:ascii="Times" w:hAnsi="Times" w:cs="Helvetica"/>
          <w:color w:val="10131A"/>
        </w:rPr>
        <w:t xml:space="preserve">the "red tape" at the </w:t>
      </w:r>
      <w:proofErr w:type="spellStart"/>
      <w:r w:rsidRPr="009D0634">
        <w:rPr>
          <w:rFonts w:ascii="Times" w:hAnsi="Times" w:cs="Helvetica"/>
          <w:color w:val="10131A"/>
        </w:rPr>
        <w:t>Pionirska</w:t>
      </w:r>
      <w:proofErr w:type="spellEnd"/>
      <w:r w:rsidRPr="009D0634">
        <w:rPr>
          <w:rFonts w:ascii="Times" w:hAnsi="Times" w:cs="Helvetica"/>
          <w:color w:val="10131A"/>
        </w:rPr>
        <w:t xml:space="preserve"> Street house in </w:t>
      </w:r>
      <w:proofErr w:type="spellStart"/>
      <w:r w:rsidRPr="009D0634">
        <w:rPr>
          <w:rFonts w:ascii="Times" w:hAnsi="Times" w:cs="Helvetica"/>
          <w:color w:val="10131A"/>
        </w:rPr>
        <w:t>Republika</w:t>
      </w:r>
      <w:proofErr w:type="spellEnd"/>
      <w:r w:rsidRPr="009D0634">
        <w:rPr>
          <w:rFonts w:ascii="Times" w:hAnsi="Times" w:cs="Helvetica"/>
          <w:color w:val="10131A"/>
        </w:rPr>
        <w:t xml:space="preserve"> </w:t>
      </w:r>
      <w:proofErr w:type="spellStart"/>
      <w:r w:rsidRPr="009D0634">
        <w:rPr>
          <w:rFonts w:ascii="Times" w:hAnsi="Times" w:cs="Helvetica"/>
          <w:color w:val="10131A"/>
        </w:rPr>
        <w:t>Sprska</w:t>
      </w:r>
      <w:proofErr w:type="spellEnd"/>
      <w:r w:rsidRPr="009D0634">
        <w:rPr>
          <w:rFonts w:ascii="Times" w:hAnsi="Times" w:cs="Helvetica"/>
          <w:color w:val="10131A"/>
        </w:rPr>
        <w:t xml:space="preserve">, in the sense that this "red line" is the line of genocide denial, </w:t>
      </w:r>
      <w:r w:rsidR="0085515B">
        <w:rPr>
          <w:rFonts w:ascii="Times" w:hAnsi="Times" w:cs="Helvetica"/>
          <w:color w:val="10131A"/>
        </w:rPr>
        <w:t xml:space="preserve">hate speech, </w:t>
      </w:r>
      <w:r w:rsidRPr="009D0634">
        <w:rPr>
          <w:rFonts w:ascii="Times" w:hAnsi="Times" w:cs="Helvetica"/>
          <w:color w:val="10131A"/>
        </w:rPr>
        <w:t xml:space="preserve">discrimination, persecution, psychological intimidation and dehumanizing exclusion. Let us cross the red line together in remembrance of the victims, in solidarity with the survivors, and in support of human rights.  When efforts to achieve justice are frustrated at </w:t>
      </w:r>
      <w:proofErr w:type="gramStart"/>
      <w:r w:rsidRPr="009D0634">
        <w:rPr>
          <w:rFonts w:ascii="Times" w:hAnsi="Times" w:cs="Helvetica"/>
          <w:color w:val="10131A"/>
        </w:rPr>
        <w:t>the</w:t>
      </w:r>
      <w:proofErr w:type="gramEnd"/>
      <w:r w:rsidRPr="009D0634">
        <w:rPr>
          <w:rFonts w:ascii="Times" w:hAnsi="Times" w:cs="Helvetica"/>
          <w:color w:val="10131A"/>
        </w:rPr>
        <w:t xml:space="preserve"> Hague, let us support human rights and justice on the ground in </w:t>
      </w:r>
      <w:proofErr w:type="spellStart"/>
      <w:r w:rsidRPr="009D0634">
        <w:rPr>
          <w:rFonts w:ascii="Times" w:hAnsi="Times" w:cs="Helvetica"/>
          <w:color w:val="10131A"/>
        </w:rPr>
        <w:t>Republika</w:t>
      </w:r>
      <w:proofErr w:type="spellEnd"/>
      <w:r w:rsidRPr="009D0634">
        <w:rPr>
          <w:rFonts w:ascii="Times" w:hAnsi="Times" w:cs="Helvetica"/>
          <w:color w:val="10131A"/>
        </w:rPr>
        <w:t xml:space="preserve"> </w:t>
      </w:r>
      <w:proofErr w:type="spellStart"/>
      <w:r w:rsidRPr="009D0634">
        <w:rPr>
          <w:rFonts w:ascii="Times" w:hAnsi="Times" w:cs="Helvetica"/>
          <w:color w:val="10131A"/>
        </w:rPr>
        <w:t>Srpska</w:t>
      </w:r>
      <w:proofErr w:type="spellEnd"/>
      <w:r w:rsidRPr="009D0634">
        <w:rPr>
          <w:rFonts w:ascii="Times" w:hAnsi="Times" w:cs="Helvetica"/>
          <w:color w:val="10131A"/>
        </w:rPr>
        <w:t>.</w:t>
      </w:r>
      <w:r w:rsidRPr="009D0634">
        <w:rPr>
          <w:rFonts w:ascii="Times" w:hAnsi="Times" w:cs="Helvetica"/>
          <w:color w:val="10131A"/>
        </w:rPr>
        <w:br/>
      </w:r>
      <w:r w:rsidRPr="009D0634">
        <w:rPr>
          <w:rFonts w:ascii="Times" w:hAnsi="Times" w:cs="Helvetica"/>
          <w:color w:val="10131A"/>
        </w:rPr>
        <w:br/>
        <w:t xml:space="preserve">Vojislav </w:t>
      </w:r>
      <w:proofErr w:type="spellStart"/>
      <w:r w:rsidRPr="009D0634">
        <w:rPr>
          <w:rFonts w:ascii="Times" w:hAnsi="Times" w:cs="Helvetica"/>
          <w:color w:val="10131A"/>
        </w:rPr>
        <w:t>Šešelj</w:t>
      </w:r>
      <w:proofErr w:type="spellEnd"/>
      <w:r w:rsidRPr="009D0634">
        <w:rPr>
          <w:rFonts w:ascii="Times" w:hAnsi="Times" w:cs="Helvetica"/>
          <w:color w:val="10131A"/>
        </w:rPr>
        <w:t xml:space="preserve"> is charged, among other crimes, with the "</w:t>
      </w:r>
      <w:r w:rsidRPr="009D0634">
        <w:rPr>
          <w:rFonts w:ascii="Times New Roman" w:hAnsi="Times New Roman"/>
        </w:rPr>
        <w:t>deliberate destruction of homes...cultural institutions, historic monuments and sacred sites."</w:t>
      </w:r>
      <w:r w:rsidR="00B65479" w:rsidRPr="009D0634">
        <w:rPr>
          <w:rFonts w:ascii="Times New Roman" w:hAnsi="Times New Roman"/>
          <w:vertAlign w:val="superscript"/>
        </w:rPr>
        <w:t>10</w:t>
      </w:r>
      <w:r w:rsidRPr="009D0634">
        <w:rPr>
          <w:rFonts w:ascii="Times" w:hAnsi="Times" w:cs="Helvetica"/>
          <w:color w:val="10131A"/>
        </w:rPr>
        <w:t xml:space="preserve"> Tragically, without some form of unified action, the anticipated demolition of the </w:t>
      </w:r>
      <w:proofErr w:type="spellStart"/>
      <w:r w:rsidRPr="009D0634">
        <w:rPr>
          <w:rFonts w:ascii="Times" w:hAnsi="Times" w:cs="Helvetica"/>
          <w:color w:val="10131A"/>
        </w:rPr>
        <w:t>Pionirska</w:t>
      </w:r>
      <w:proofErr w:type="spellEnd"/>
      <w:r w:rsidRPr="009D0634">
        <w:rPr>
          <w:rFonts w:ascii="Times" w:hAnsi="Times" w:cs="Helvetica"/>
          <w:color w:val="10131A"/>
        </w:rPr>
        <w:t xml:space="preserve"> Street house will be nothing less than the cruel re-enactment, in 2014, of the genocide that occurred between 1992-1995. The destruction of the </w:t>
      </w:r>
      <w:proofErr w:type="spellStart"/>
      <w:r w:rsidRPr="009D0634">
        <w:rPr>
          <w:rFonts w:ascii="Times" w:hAnsi="Times" w:cs="Helvetica"/>
          <w:color w:val="10131A"/>
        </w:rPr>
        <w:t>Pionirska</w:t>
      </w:r>
      <w:proofErr w:type="spellEnd"/>
      <w:r w:rsidRPr="009D0634">
        <w:rPr>
          <w:rFonts w:ascii="Times" w:hAnsi="Times" w:cs="Helvetica"/>
          <w:color w:val="10131A"/>
        </w:rPr>
        <w:t xml:space="preserve"> Street house will re-enact the Bosnian Serb Army's practice of destroying homes, mosques and cultural institutions in civilian </w:t>
      </w:r>
      <w:r w:rsidR="00A01950">
        <w:rPr>
          <w:rFonts w:ascii="Times" w:hAnsi="Times" w:cs="Helvetica"/>
          <w:color w:val="10131A"/>
        </w:rPr>
        <w:t xml:space="preserve">towns and </w:t>
      </w:r>
      <w:r w:rsidRPr="009D0634">
        <w:rPr>
          <w:rFonts w:ascii="Times" w:hAnsi="Times" w:cs="Helvetica"/>
          <w:color w:val="10131A"/>
        </w:rPr>
        <w:t>villages, such as o</w:t>
      </w:r>
      <w:r w:rsidR="00FE7F26">
        <w:rPr>
          <w:rFonts w:ascii="Times" w:hAnsi="Times" w:cs="Helvetica"/>
          <w:color w:val="10131A"/>
        </w:rPr>
        <w:t xml:space="preserve">ccurred from </w:t>
      </w:r>
      <w:proofErr w:type="spellStart"/>
      <w:r w:rsidR="00FE7F26">
        <w:rPr>
          <w:rFonts w:ascii="Times" w:hAnsi="Times" w:cs="Helvetica"/>
          <w:color w:val="10131A"/>
        </w:rPr>
        <w:t>Kozarac</w:t>
      </w:r>
      <w:proofErr w:type="spellEnd"/>
      <w:r w:rsidR="00FE7F26">
        <w:rPr>
          <w:rFonts w:ascii="Times" w:hAnsi="Times" w:cs="Helvetica"/>
          <w:color w:val="10131A"/>
        </w:rPr>
        <w:t xml:space="preserve"> (</w:t>
      </w:r>
      <w:proofErr w:type="spellStart"/>
      <w:r w:rsidR="00FE7F26">
        <w:rPr>
          <w:rFonts w:ascii="Times" w:hAnsi="Times" w:cs="Helvetica"/>
          <w:color w:val="10131A"/>
        </w:rPr>
        <w:t>Prijedor</w:t>
      </w:r>
      <w:proofErr w:type="spellEnd"/>
      <w:r w:rsidR="00FE7F26">
        <w:rPr>
          <w:rFonts w:ascii="Times" w:hAnsi="Times" w:cs="Helvetica"/>
          <w:color w:val="10131A"/>
        </w:rPr>
        <w:t xml:space="preserve"> M</w:t>
      </w:r>
      <w:r w:rsidRPr="009D0634">
        <w:rPr>
          <w:rFonts w:ascii="Times" w:hAnsi="Times" w:cs="Helvetica"/>
          <w:color w:val="10131A"/>
        </w:rPr>
        <w:t>unicipa</w:t>
      </w:r>
      <w:r w:rsidR="00FE7F26">
        <w:rPr>
          <w:rFonts w:ascii="Times" w:hAnsi="Times" w:cs="Helvetica"/>
          <w:color w:val="10131A"/>
        </w:rPr>
        <w:t xml:space="preserve">lity) to </w:t>
      </w:r>
      <w:proofErr w:type="spellStart"/>
      <w:r w:rsidR="00FE7F26">
        <w:rPr>
          <w:rFonts w:ascii="Times" w:hAnsi="Times" w:cs="Helvetica"/>
          <w:color w:val="10131A"/>
        </w:rPr>
        <w:t>Klotjevac</w:t>
      </w:r>
      <w:proofErr w:type="spellEnd"/>
      <w:r w:rsidR="00FE7F26">
        <w:rPr>
          <w:rFonts w:ascii="Times" w:hAnsi="Times" w:cs="Helvetica"/>
          <w:color w:val="10131A"/>
        </w:rPr>
        <w:t xml:space="preserve"> (Srebrenica M</w:t>
      </w:r>
      <w:r w:rsidRPr="009D0634">
        <w:rPr>
          <w:rFonts w:ascii="Times" w:hAnsi="Times" w:cs="Helvetica"/>
          <w:color w:val="10131A"/>
        </w:rPr>
        <w:t xml:space="preserve">unicipality), and in </w:t>
      </w:r>
      <w:r w:rsidRPr="009D0634">
        <w:rPr>
          <w:rFonts w:ascii="Times" w:hAnsi="Times" w:cs="Helvetica"/>
          <w:color w:val="10131A"/>
        </w:rPr>
        <w:lastRenderedPageBreak/>
        <w:t xml:space="preserve">many other locations. The international community was unable to stop the murder of civilians and the destruction of their homes from 1992 - 1995. The question is whether the international community will unite and act now to protect Mrs. Hasečić from further criminal investigation and </w:t>
      </w:r>
      <w:r w:rsidR="00910E85">
        <w:rPr>
          <w:rFonts w:ascii="Times" w:hAnsi="Times" w:cs="Helvetica"/>
          <w:color w:val="10131A"/>
        </w:rPr>
        <w:t>prevent</w:t>
      </w:r>
      <w:r w:rsidRPr="009D0634">
        <w:rPr>
          <w:rFonts w:ascii="Times" w:hAnsi="Times" w:cs="Helvetica"/>
          <w:color w:val="10131A"/>
        </w:rPr>
        <w:t xml:space="preserve"> the destruction of the </w:t>
      </w:r>
      <w:proofErr w:type="spellStart"/>
      <w:r w:rsidRPr="009D0634">
        <w:rPr>
          <w:rFonts w:ascii="Times" w:hAnsi="Times" w:cs="Helvetica"/>
          <w:color w:val="10131A"/>
        </w:rPr>
        <w:t>Pionirska</w:t>
      </w:r>
      <w:proofErr w:type="spellEnd"/>
      <w:r w:rsidRPr="009D0634">
        <w:rPr>
          <w:rFonts w:ascii="Times" w:hAnsi="Times" w:cs="Helvetica"/>
          <w:color w:val="10131A"/>
        </w:rPr>
        <w:t xml:space="preserve"> Street house.</w:t>
      </w:r>
    </w:p>
    <w:p w:rsidR="005C79C9" w:rsidRPr="009D0634" w:rsidRDefault="005C79C9" w:rsidP="005C79C9">
      <w:pPr>
        <w:rPr>
          <w:rFonts w:ascii="Times" w:hAnsi="Times" w:cs="Helvetica"/>
          <w:color w:val="10131A"/>
        </w:rPr>
      </w:pPr>
      <w:r w:rsidRPr="009D0634">
        <w:rPr>
          <w:rFonts w:ascii="Times" w:hAnsi="Times" w:cs="Helvetica"/>
          <w:color w:val="10131A"/>
        </w:rPr>
        <w:br/>
      </w:r>
    </w:p>
    <w:p w:rsidR="005C79C9" w:rsidRPr="009D0634" w:rsidRDefault="005C79C9" w:rsidP="005C79C9">
      <w:pPr>
        <w:rPr>
          <w:rFonts w:ascii="Times" w:hAnsi="Times" w:cs="Helvetica"/>
          <w:color w:val="10131A"/>
        </w:rPr>
      </w:pPr>
    </w:p>
    <w:p w:rsidR="005C79C9" w:rsidRPr="009D0634" w:rsidRDefault="005C79C9" w:rsidP="005C79C9">
      <w:pPr>
        <w:rPr>
          <w:rFonts w:ascii="Times" w:hAnsi="Times" w:cs="Helvetica"/>
          <w:color w:val="10131A"/>
        </w:rPr>
      </w:pPr>
      <w:r w:rsidRPr="009D0634">
        <w:rPr>
          <w:rFonts w:ascii="Times" w:hAnsi="Times" w:cs="Helvetica"/>
          <w:color w:val="10131A"/>
        </w:rPr>
        <w:t>David Pettigrew, PhD</w:t>
      </w:r>
    </w:p>
    <w:p w:rsidR="005C79C9" w:rsidRPr="009D0634" w:rsidRDefault="005C79C9" w:rsidP="005C79C9">
      <w:pPr>
        <w:rPr>
          <w:rFonts w:ascii="Times" w:hAnsi="Times"/>
        </w:rPr>
      </w:pPr>
      <w:r w:rsidRPr="009D0634">
        <w:rPr>
          <w:rFonts w:ascii="Times" w:hAnsi="Times"/>
        </w:rPr>
        <w:t>Professor of Philosophy, Southern Connecticut State University,</w:t>
      </w:r>
    </w:p>
    <w:p w:rsidR="005C79C9" w:rsidRPr="009D0634" w:rsidRDefault="005C79C9" w:rsidP="005C79C9">
      <w:pPr>
        <w:rPr>
          <w:rFonts w:ascii="Times" w:hAnsi="Times"/>
        </w:rPr>
      </w:pPr>
      <w:r w:rsidRPr="009D0634">
        <w:rPr>
          <w:rFonts w:ascii="Times" w:hAnsi="Times"/>
        </w:rPr>
        <w:t>Member, Steering Committee, Yale University Genocide Studies Program,</w:t>
      </w:r>
    </w:p>
    <w:p w:rsidR="005C79C9" w:rsidRPr="009D0634" w:rsidRDefault="005C79C9" w:rsidP="005C79C9">
      <w:pPr>
        <w:rPr>
          <w:rFonts w:ascii="Times" w:hAnsi="Times"/>
        </w:rPr>
      </w:pPr>
      <w:r w:rsidRPr="009D0634">
        <w:rPr>
          <w:rFonts w:ascii="Times" w:hAnsi="Times"/>
        </w:rPr>
        <w:t>International Team of Experts Institute for Research of Genocide Canada,</w:t>
      </w:r>
    </w:p>
    <w:p w:rsidR="005C79C9" w:rsidRPr="009D0634" w:rsidRDefault="005C79C9" w:rsidP="005C79C9">
      <w:pPr>
        <w:rPr>
          <w:rFonts w:ascii="Times" w:hAnsi="Times"/>
        </w:rPr>
      </w:pPr>
      <w:r w:rsidRPr="009D0634">
        <w:rPr>
          <w:rFonts w:ascii="Times" w:hAnsi="Times"/>
        </w:rPr>
        <w:t>Board Member, Bosnian American Genocide Institute and Education Center, Chicago, IL</w:t>
      </w:r>
    </w:p>
    <w:p w:rsidR="00E33CF0" w:rsidRPr="009D0634" w:rsidRDefault="00E33CF0">
      <w:pPr>
        <w:rPr>
          <w:rFonts w:ascii="Times" w:hAnsi="Times"/>
        </w:rPr>
      </w:pPr>
      <w:r w:rsidRPr="009D0634">
        <w:rPr>
          <w:rFonts w:ascii="Times" w:hAnsi="Times"/>
        </w:rPr>
        <w:br w:type="page"/>
      </w:r>
    </w:p>
    <w:p w:rsidR="00E33CF0" w:rsidRPr="009D0634" w:rsidRDefault="00E33CF0" w:rsidP="005C79C9">
      <w:pPr>
        <w:rPr>
          <w:rFonts w:ascii="Times" w:hAnsi="Times" w:cs="Helvetica"/>
          <w:color w:val="10131A"/>
        </w:rPr>
      </w:pPr>
    </w:p>
    <w:p w:rsidR="005C79C9" w:rsidRPr="009D0634" w:rsidRDefault="005C79C9" w:rsidP="005C79C9">
      <w:pPr>
        <w:rPr>
          <w:rFonts w:ascii="Times" w:hAnsi="Times" w:cs="Helvetica"/>
          <w:color w:val="10131A"/>
        </w:rPr>
      </w:pPr>
    </w:p>
    <w:p w:rsidR="00E33CF0" w:rsidRPr="009D0634" w:rsidRDefault="00B117BD" w:rsidP="005C79C9">
      <w:pPr>
        <w:rPr>
          <w:rFonts w:ascii="Times" w:hAnsi="Times" w:cs="Helvetica"/>
          <w:color w:val="10131A"/>
        </w:rPr>
      </w:pPr>
      <w:r>
        <w:rPr>
          <w:rFonts w:ascii="Times" w:hAnsi="Times" w:cs="Helvetica"/>
          <w:color w:val="10131A"/>
        </w:rPr>
        <w:t>NOTES</w:t>
      </w:r>
      <w:r w:rsidR="00E33CF0" w:rsidRPr="009D0634">
        <w:rPr>
          <w:rFonts w:ascii="Times" w:hAnsi="Times" w:cs="Helvetica"/>
          <w:color w:val="10131A"/>
        </w:rPr>
        <w:t>:</w:t>
      </w:r>
    </w:p>
    <w:p w:rsidR="005C79C9" w:rsidRPr="009D0634" w:rsidRDefault="005C79C9" w:rsidP="005C79C9">
      <w:pPr>
        <w:rPr>
          <w:rFonts w:ascii="Times" w:hAnsi="Times" w:cs="Helvetica"/>
          <w:color w:val="10131A"/>
        </w:rPr>
      </w:pPr>
    </w:p>
    <w:p w:rsidR="005C79C9" w:rsidRPr="009D0634" w:rsidRDefault="00B65479" w:rsidP="005C79C9">
      <w:pPr>
        <w:rPr>
          <w:rFonts w:ascii="Times" w:hAnsi="Times"/>
        </w:rPr>
      </w:pPr>
      <w:r w:rsidRPr="009D0634">
        <w:rPr>
          <w:rFonts w:ascii="Times" w:hAnsi="Times" w:cs="Helvetica"/>
          <w:color w:val="10131A"/>
        </w:rPr>
        <w:t xml:space="preserve">1. </w:t>
      </w:r>
      <w:r w:rsidRPr="009D0634">
        <w:rPr>
          <w:rFonts w:ascii="Times" w:hAnsi="Times"/>
          <w:i/>
        </w:rPr>
        <w:t>International Criminal Tribunal for the former Yugoslavia</w:t>
      </w:r>
      <w:r w:rsidRPr="009D0634">
        <w:rPr>
          <w:rFonts w:ascii="Times" w:hAnsi="Times"/>
        </w:rPr>
        <w:t xml:space="preserve">, </w:t>
      </w:r>
      <w:r w:rsidRPr="009D0634">
        <w:rPr>
          <w:rFonts w:ascii="Times" w:hAnsi="Times"/>
          <w:i/>
        </w:rPr>
        <w:t>Third Amended Indictment</w:t>
      </w:r>
      <w:r w:rsidRPr="009D0634">
        <w:rPr>
          <w:rFonts w:ascii="Times" w:hAnsi="Times"/>
        </w:rPr>
        <w:t xml:space="preserve">, </w:t>
      </w:r>
      <w:proofErr w:type="spellStart"/>
      <w:r w:rsidRPr="009D0634">
        <w:rPr>
          <w:rFonts w:ascii="Times" w:hAnsi="Times"/>
          <w:i/>
        </w:rPr>
        <w:t>Šešelj</w:t>
      </w:r>
      <w:proofErr w:type="spellEnd"/>
      <w:r w:rsidRPr="009D0634">
        <w:rPr>
          <w:rFonts w:ascii="Times" w:hAnsi="Times"/>
          <w:i/>
        </w:rPr>
        <w:t xml:space="preserve"> </w:t>
      </w:r>
      <w:r w:rsidRPr="009D0634">
        <w:rPr>
          <w:rFonts w:ascii="Times" w:hAnsi="Times"/>
        </w:rPr>
        <w:t xml:space="preserve">(IT-03-67-T), December 7, 2007, accessed November 28, 2014, </w:t>
      </w:r>
      <w:r w:rsidRPr="009D0634">
        <w:rPr>
          <w:rFonts w:ascii="Times" w:hAnsi="Times"/>
        </w:rPr>
        <w:br/>
        <w:t>http://www.icty.org/x/cases/seselj/ind/en/seslj3rdind071207e.pdf</w:t>
      </w:r>
    </w:p>
    <w:p w:rsidR="00B65479" w:rsidRPr="009D0634" w:rsidRDefault="00B65479" w:rsidP="00B65479">
      <w:pPr>
        <w:pStyle w:val="NormalWeb"/>
        <w:rPr>
          <w:sz w:val="24"/>
          <w:szCs w:val="24"/>
        </w:rPr>
      </w:pPr>
      <w:r w:rsidRPr="009D0634">
        <w:rPr>
          <w:sz w:val="24"/>
          <w:szCs w:val="24"/>
        </w:rPr>
        <w:t>2.</w:t>
      </w:r>
      <w:r w:rsidRPr="009D0634">
        <w:rPr>
          <w:i/>
          <w:sz w:val="24"/>
          <w:szCs w:val="24"/>
        </w:rPr>
        <w:t xml:space="preserve"> International Criminal Tribunal for the former Yugoslavia</w:t>
      </w:r>
      <w:r w:rsidRPr="009D0634">
        <w:rPr>
          <w:sz w:val="24"/>
          <w:szCs w:val="24"/>
        </w:rPr>
        <w:t xml:space="preserve">, ORDER ON THE PROVISIONAL RELEASE OF THE ACCUSED </w:t>
      </w:r>
      <w:r w:rsidRPr="009D0634">
        <w:rPr>
          <w:i/>
          <w:iCs/>
          <w:sz w:val="24"/>
          <w:szCs w:val="24"/>
        </w:rPr>
        <w:t>PROPRIO MOTU</w:t>
      </w:r>
      <w:r w:rsidRPr="009D0634">
        <w:rPr>
          <w:i/>
          <w:iCs/>
          <w:color w:val="3A3A3A"/>
          <w:sz w:val="24"/>
          <w:szCs w:val="24"/>
        </w:rPr>
        <w:t xml:space="preserve"> </w:t>
      </w:r>
      <w:r w:rsidRPr="009D0634">
        <w:rPr>
          <w:sz w:val="24"/>
          <w:szCs w:val="24"/>
        </w:rPr>
        <w:t>(IT-03-67-T), Trial Chamber III, November 6, 2014, accessed November 28, 2014, http://www.icty.org/x/cases/seselj/tord/en/141106.pdf</w:t>
      </w:r>
    </w:p>
    <w:p w:rsidR="00B65479" w:rsidRPr="009D0634" w:rsidRDefault="00B65479" w:rsidP="00B65479">
      <w:pPr>
        <w:pStyle w:val="NormalWeb"/>
        <w:rPr>
          <w:sz w:val="24"/>
          <w:szCs w:val="24"/>
        </w:rPr>
      </w:pPr>
      <w:r w:rsidRPr="009D0634">
        <w:rPr>
          <w:sz w:val="24"/>
          <w:szCs w:val="24"/>
        </w:rPr>
        <w:t>3.</w:t>
      </w:r>
      <w:r w:rsidR="00E33CF0" w:rsidRPr="009D0634">
        <w:rPr>
          <w:sz w:val="24"/>
          <w:szCs w:val="24"/>
        </w:rPr>
        <w:t xml:space="preserve"> </w:t>
      </w:r>
      <w:r w:rsidR="00E33CF0" w:rsidRPr="009D0634">
        <w:rPr>
          <w:i/>
          <w:sz w:val="24"/>
          <w:szCs w:val="24"/>
        </w:rPr>
        <w:t>International Criminal Tribunal for the former Yugoslavia</w:t>
      </w:r>
      <w:r w:rsidR="00E33CF0" w:rsidRPr="009D0634">
        <w:rPr>
          <w:sz w:val="24"/>
          <w:szCs w:val="24"/>
        </w:rPr>
        <w:t xml:space="preserve">, </w:t>
      </w:r>
      <w:r w:rsidR="00E33CF0" w:rsidRPr="009D0634">
        <w:rPr>
          <w:i/>
          <w:sz w:val="24"/>
          <w:szCs w:val="24"/>
        </w:rPr>
        <w:t>Third Amended Indictment</w:t>
      </w:r>
      <w:r w:rsidR="00E33CF0" w:rsidRPr="009D0634">
        <w:rPr>
          <w:sz w:val="24"/>
          <w:szCs w:val="24"/>
        </w:rPr>
        <w:t xml:space="preserve">, </w:t>
      </w:r>
      <w:proofErr w:type="spellStart"/>
      <w:proofErr w:type="gramStart"/>
      <w:r w:rsidR="00E33CF0" w:rsidRPr="009D0634">
        <w:rPr>
          <w:i/>
          <w:sz w:val="24"/>
          <w:szCs w:val="24"/>
        </w:rPr>
        <w:t>Šešelj</w:t>
      </w:r>
      <w:proofErr w:type="spellEnd"/>
      <w:r w:rsidR="00E33CF0" w:rsidRPr="009D0634">
        <w:rPr>
          <w:i/>
          <w:sz w:val="24"/>
          <w:szCs w:val="24"/>
        </w:rPr>
        <w:t xml:space="preserve">  </w:t>
      </w:r>
      <w:r w:rsidR="00E33CF0" w:rsidRPr="009D0634">
        <w:rPr>
          <w:sz w:val="24"/>
          <w:szCs w:val="24"/>
        </w:rPr>
        <w:t>(</w:t>
      </w:r>
      <w:proofErr w:type="gramEnd"/>
      <w:r w:rsidR="00E33CF0" w:rsidRPr="009D0634">
        <w:rPr>
          <w:sz w:val="24"/>
          <w:szCs w:val="24"/>
        </w:rPr>
        <w:t>IT-03-67-T), §10, b and c, December 7, 2007, accessed November 28</w:t>
      </w:r>
      <w:r w:rsidR="004735C1">
        <w:rPr>
          <w:sz w:val="24"/>
          <w:szCs w:val="24"/>
        </w:rPr>
        <w:t>, 2014.</w:t>
      </w:r>
    </w:p>
    <w:p w:rsidR="00B65479" w:rsidRPr="009D0634" w:rsidRDefault="00B65479" w:rsidP="00B65479">
      <w:pPr>
        <w:pStyle w:val="NormalWeb"/>
        <w:rPr>
          <w:sz w:val="24"/>
          <w:szCs w:val="24"/>
        </w:rPr>
      </w:pPr>
      <w:r w:rsidRPr="009D0634">
        <w:rPr>
          <w:sz w:val="24"/>
          <w:szCs w:val="24"/>
        </w:rPr>
        <w:t>4.</w:t>
      </w:r>
      <w:r w:rsidR="00F0492A" w:rsidRPr="009D0634">
        <w:rPr>
          <w:sz w:val="24"/>
          <w:szCs w:val="24"/>
        </w:rPr>
        <w:t xml:space="preserve"> </w:t>
      </w:r>
      <w:r w:rsidR="00F0492A" w:rsidRPr="009D0634">
        <w:rPr>
          <w:i/>
          <w:sz w:val="24"/>
          <w:szCs w:val="24"/>
        </w:rPr>
        <w:t>International Criminal Tribunal for the former Yugoslavia</w:t>
      </w:r>
      <w:r w:rsidR="00F0492A" w:rsidRPr="009D0634">
        <w:rPr>
          <w:sz w:val="24"/>
          <w:szCs w:val="24"/>
        </w:rPr>
        <w:t xml:space="preserve">, </w:t>
      </w:r>
      <w:r w:rsidR="00F0492A" w:rsidRPr="009D0634">
        <w:rPr>
          <w:i/>
          <w:sz w:val="24"/>
          <w:szCs w:val="24"/>
        </w:rPr>
        <w:t>Third Amended Indictment</w:t>
      </w:r>
      <w:r w:rsidR="00F0492A" w:rsidRPr="009D0634">
        <w:rPr>
          <w:sz w:val="24"/>
          <w:szCs w:val="24"/>
        </w:rPr>
        <w:t xml:space="preserve">, </w:t>
      </w:r>
      <w:proofErr w:type="spellStart"/>
      <w:proofErr w:type="gramStart"/>
      <w:r w:rsidR="00F0492A" w:rsidRPr="009D0634">
        <w:rPr>
          <w:i/>
          <w:sz w:val="24"/>
          <w:szCs w:val="24"/>
        </w:rPr>
        <w:t>Šešelj</w:t>
      </w:r>
      <w:proofErr w:type="spellEnd"/>
      <w:r w:rsidR="00F0492A" w:rsidRPr="009D0634">
        <w:rPr>
          <w:i/>
          <w:sz w:val="24"/>
          <w:szCs w:val="24"/>
        </w:rPr>
        <w:t xml:space="preserve">  </w:t>
      </w:r>
      <w:r w:rsidR="00F0492A" w:rsidRPr="009D0634">
        <w:rPr>
          <w:sz w:val="24"/>
          <w:szCs w:val="24"/>
        </w:rPr>
        <w:t>(</w:t>
      </w:r>
      <w:proofErr w:type="gramEnd"/>
      <w:r w:rsidR="00F0492A" w:rsidRPr="009D0634">
        <w:rPr>
          <w:sz w:val="24"/>
          <w:szCs w:val="24"/>
        </w:rPr>
        <w:t xml:space="preserve">IT-03-67-T), §22, 24, 26, 27, 28-33, December 7, 2007, accessed November 28, 2014, </w:t>
      </w:r>
    </w:p>
    <w:p w:rsidR="00B65479" w:rsidRPr="009D0634" w:rsidRDefault="00B65479" w:rsidP="00F0492A">
      <w:pPr>
        <w:pStyle w:val="EndnoteText"/>
        <w:rPr>
          <w:rFonts w:ascii="Times" w:hAnsi="Times"/>
        </w:rPr>
      </w:pPr>
      <w:r w:rsidRPr="009D0634">
        <w:t>5.</w:t>
      </w:r>
      <w:r w:rsidR="00F0492A" w:rsidRPr="009D0634">
        <w:t xml:space="preserve"> </w:t>
      </w:r>
      <w:r w:rsidR="00F0492A" w:rsidRPr="009D0634">
        <w:rPr>
          <w:rFonts w:ascii="Times" w:hAnsi="Times"/>
          <w:i/>
        </w:rPr>
        <w:t xml:space="preserve">International Criminal Tribunal for the former Yugoslavia, </w:t>
      </w:r>
      <w:proofErr w:type="spellStart"/>
      <w:r w:rsidR="00F0492A" w:rsidRPr="009D0634">
        <w:rPr>
          <w:rFonts w:ascii="Times" w:hAnsi="Times"/>
          <w:i/>
        </w:rPr>
        <w:t>Judgement</w:t>
      </w:r>
      <w:proofErr w:type="spellEnd"/>
      <w:r w:rsidR="00F0492A" w:rsidRPr="009D0634">
        <w:rPr>
          <w:rFonts w:ascii="Times" w:hAnsi="Times"/>
          <w:i/>
        </w:rPr>
        <w:t>,</w:t>
      </w:r>
      <w:r w:rsidR="00F0492A" w:rsidRPr="009D0634">
        <w:rPr>
          <w:rFonts w:ascii="Times" w:hAnsi="Times"/>
        </w:rPr>
        <w:t xml:space="preserve"> </w:t>
      </w:r>
      <w:r w:rsidR="00F0492A" w:rsidRPr="009D0634">
        <w:rPr>
          <w:rFonts w:ascii="Times" w:hAnsi="Times"/>
          <w:i/>
        </w:rPr>
        <w:t>§1061</w:t>
      </w:r>
      <w:r w:rsidR="00F0492A" w:rsidRPr="009D0634">
        <w:rPr>
          <w:rFonts w:ascii="Times" w:hAnsi="Times"/>
        </w:rPr>
        <w:t xml:space="preserve">, </w:t>
      </w:r>
      <w:r w:rsidR="00F0492A" w:rsidRPr="009D0634">
        <w:rPr>
          <w:rFonts w:ascii="Times" w:hAnsi="Times"/>
          <w:i/>
        </w:rPr>
        <w:t xml:space="preserve">Trial Chamber III, July 20, 2009, </w:t>
      </w:r>
      <w:r w:rsidR="00F0492A" w:rsidRPr="009D0634">
        <w:rPr>
          <w:rFonts w:ascii="Times" w:hAnsi="Times"/>
        </w:rPr>
        <w:t>accessed November 28, 2014, http://www.icty.org/x/cases/milan_lukic_sredoje_lukic/tjug/en/090720_j.pdf</w:t>
      </w:r>
    </w:p>
    <w:p w:rsidR="00B65479" w:rsidRPr="009D0634" w:rsidRDefault="00B65479" w:rsidP="00B65479">
      <w:pPr>
        <w:pStyle w:val="NormalWeb"/>
        <w:rPr>
          <w:sz w:val="24"/>
          <w:szCs w:val="24"/>
        </w:rPr>
      </w:pPr>
      <w:r w:rsidRPr="009D0634">
        <w:rPr>
          <w:sz w:val="24"/>
          <w:szCs w:val="24"/>
        </w:rPr>
        <w:t>6.</w:t>
      </w:r>
      <w:r w:rsidR="00F0492A" w:rsidRPr="009D0634">
        <w:rPr>
          <w:sz w:val="24"/>
          <w:szCs w:val="24"/>
        </w:rPr>
        <w:t xml:space="preserve"> </w:t>
      </w:r>
      <w:r w:rsidR="00F0492A" w:rsidRPr="009D0634">
        <w:rPr>
          <w:i/>
          <w:sz w:val="24"/>
          <w:szCs w:val="24"/>
        </w:rPr>
        <w:t xml:space="preserve">International Criminal Tribunal for the former Yugoslavia, </w:t>
      </w:r>
      <w:proofErr w:type="spellStart"/>
      <w:r w:rsidR="00F0492A" w:rsidRPr="009D0634">
        <w:rPr>
          <w:i/>
          <w:sz w:val="24"/>
          <w:szCs w:val="24"/>
        </w:rPr>
        <w:t>Judgement</w:t>
      </w:r>
      <w:proofErr w:type="spellEnd"/>
      <w:r w:rsidR="00F0492A" w:rsidRPr="009D0634">
        <w:rPr>
          <w:i/>
          <w:sz w:val="24"/>
          <w:szCs w:val="24"/>
        </w:rPr>
        <w:t xml:space="preserve">, Milan </w:t>
      </w:r>
      <w:proofErr w:type="spellStart"/>
      <w:r w:rsidR="00F0492A" w:rsidRPr="009D0634">
        <w:rPr>
          <w:i/>
          <w:sz w:val="24"/>
          <w:szCs w:val="24"/>
        </w:rPr>
        <w:t>Lukić-Sredoje</w:t>
      </w:r>
      <w:proofErr w:type="spellEnd"/>
      <w:r w:rsidR="00F0492A" w:rsidRPr="009D0634">
        <w:rPr>
          <w:i/>
          <w:sz w:val="24"/>
          <w:szCs w:val="24"/>
        </w:rPr>
        <w:t xml:space="preserve"> </w:t>
      </w:r>
      <w:proofErr w:type="spellStart"/>
      <w:r w:rsidR="00F0492A" w:rsidRPr="009D0634">
        <w:rPr>
          <w:i/>
          <w:sz w:val="24"/>
          <w:szCs w:val="24"/>
        </w:rPr>
        <w:t>Lukić</w:t>
      </w:r>
      <w:proofErr w:type="spellEnd"/>
      <w:r w:rsidR="00F0492A" w:rsidRPr="009D0634">
        <w:rPr>
          <w:sz w:val="24"/>
          <w:szCs w:val="24"/>
        </w:rPr>
        <w:t xml:space="preserve"> (IT-98-32/1-T)</w:t>
      </w:r>
      <w:r w:rsidR="00F0492A" w:rsidRPr="009D0634">
        <w:rPr>
          <w:i/>
          <w:sz w:val="24"/>
          <w:szCs w:val="24"/>
        </w:rPr>
        <w:t xml:space="preserve">, </w:t>
      </w:r>
      <w:proofErr w:type="spellStart"/>
      <w:r w:rsidR="00F0492A" w:rsidRPr="009D0634">
        <w:rPr>
          <w:i/>
          <w:sz w:val="24"/>
          <w:szCs w:val="24"/>
        </w:rPr>
        <w:t>Judgement</w:t>
      </w:r>
      <w:proofErr w:type="spellEnd"/>
      <w:r w:rsidR="00F0492A" w:rsidRPr="009D0634">
        <w:rPr>
          <w:i/>
          <w:sz w:val="24"/>
          <w:szCs w:val="24"/>
        </w:rPr>
        <w:t xml:space="preserve">, §740, Trial Chamber III, July 20, 2009, </w:t>
      </w:r>
      <w:r w:rsidR="00F0492A" w:rsidRPr="009D0634">
        <w:rPr>
          <w:sz w:val="24"/>
          <w:szCs w:val="24"/>
        </w:rPr>
        <w:t xml:space="preserve">http://www.icty.org/x/cases/milan_lukic_sredoje_lukic/tjug/en/090720_j.pdf </w:t>
      </w:r>
    </w:p>
    <w:p w:rsidR="00B65479" w:rsidRPr="009D0634" w:rsidRDefault="00B65479" w:rsidP="00B65479">
      <w:pPr>
        <w:pStyle w:val="NormalWeb"/>
        <w:rPr>
          <w:sz w:val="24"/>
          <w:szCs w:val="24"/>
        </w:rPr>
      </w:pPr>
      <w:r w:rsidRPr="009D0634">
        <w:rPr>
          <w:sz w:val="24"/>
          <w:szCs w:val="24"/>
        </w:rPr>
        <w:t xml:space="preserve">7. </w:t>
      </w:r>
      <w:proofErr w:type="spellStart"/>
      <w:r w:rsidRPr="009D0634">
        <w:rPr>
          <w:rFonts w:cs="Times"/>
          <w:sz w:val="24"/>
          <w:szCs w:val="24"/>
        </w:rPr>
        <w:t>Inzko</w:t>
      </w:r>
      <w:proofErr w:type="spellEnd"/>
      <w:r w:rsidRPr="009D0634">
        <w:rPr>
          <w:rFonts w:cs="Times"/>
          <w:sz w:val="24"/>
          <w:szCs w:val="24"/>
        </w:rPr>
        <w:t xml:space="preserve">, </w:t>
      </w:r>
      <w:proofErr w:type="spellStart"/>
      <w:r w:rsidRPr="009D0634">
        <w:rPr>
          <w:rFonts w:cs="Times"/>
          <w:sz w:val="24"/>
          <w:szCs w:val="24"/>
        </w:rPr>
        <w:t>Valentin</w:t>
      </w:r>
      <w:proofErr w:type="spellEnd"/>
      <w:r w:rsidRPr="009D0634">
        <w:rPr>
          <w:rFonts w:cs="Times"/>
          <w:sz w:val="24"/>
          <w:szCs w:val="24"/>
        </w:rPr>
        <w:t xml:space="preserve">. </w:t>
      </w:r>
      <w:proofErr w:type="gramStart"/>
      <w:r w:rsidRPr="009D0634">
        <w:rPr>
          <w:rFonts w:cs="Times"/>
          <w:sz w:val="24"/>
          <w:szCs w:val="24"/>
        </w:rPr>
        <w:t>"Panel Presentation and Discussion."</w:t>
      </w:r>
      <w:proofErr w:type="gramEnd"/>
      <w:r w:rsidRPr="009D0634">
        <w:rPr>
          <w:rFonts w:cs="Times"/>
          <w:sz w:val="24"/>
          <w:szCs w:val="24"/>
        </w:rPr>
        <w:t xml:space="preserve"> </w:t>
      </w:r>
      <w:proofErr w:type="gramStart"/>
      <w:r w:rsidRPr="009D0634">
        <w:rPr>
          <w:rFonts w:cs="Times"/>
          <w:sz w:val="24"/>
          <w:szCs w:val="24"/>
        </w:rPr>
        <w:t>"Conference on "European Integration of the Western Balkans" Council for International Relations in Cooperation with Ministry of Foreign Affairs Czech Republic, Prague.</w:t>
      </w:r>
      <w:proofErr w:type="gramEnd"/>
      <w:r w:rsidRPr="009D0634">
        <w:rPr>
          <w:rFonts w:cs="Times"/>
          <w:sz w:val="24"/>
          <w:szCs w:val="24"/>
        </w:rPr>
        <w:t xml:space="preserve"> 30 Oct. 2014. </w:t>
      </w:r>
      <w:proofErr w:type="gramStart"/>
      <w:r w:rsidRPr="009D0634">
        <w:rPr>
          <w:rFonts w:cs="Times"/>
          <w:sz w:val="24"/>
          <w:szCs w:val="24"/>
        </w:rPr>
        <w:t>Speech.</w:t>
      </w:r>
      <w:proofErr w:type="gramEnd"/>
      <w:r w:rsidRPr="009D0634">
        <w:rPr>
          <w:sz w:val="24"/>
          <w:szCs w:val="24"/>
        </w:rPr>
        <w:t xml:space="preserve"> </w:t>
      </w:r>
      <w:hyperlink r:id="rId6" w:anchor=".VFkrmUv0gTN" w:history="1">
        <w:r w:rsidRPr="009D0634">
          <w:rPr>
            <w:rFonts w:cs="Helvetica"/>
            <w:color w:val="2D4486"/>
            <w:sz w:val="24"/>
            <w:szCs w:val="24"/>
            <w:u w:val="single" w:color="2D4486"/>
          </w:rPr>
          <w:t>http://www.rmv.cz/cz/detail-clanku/integrace-balkanu-do-evropske-unie-mezinarodni-konference/#.VFkrmUv0gTN</w:t>
        </w:r>
      </w:hyperlink>
    </w:p>
    <w:p w:rsidR="00B65479" w:rsidRPr="009D0634" w:rsidRDefault="00B65479" w:rsidP="00B65479">
      <w:pPr>
        <w:pStyle w:val="NormalWeb"/>
        <w:rPr>
          <w:sz w:val="24"/>
          <w:szCs w:val="24"/>
        </w:rPr>
      </w:pPr>
      <w:r w:rsidRPr="009D0634">
        <w:rPr>
          <w:sz w:val="24"/>
          <w:szCs w:val="24"/>
        </w:rPr>
        <w:t>8. Ibid.</w:t>
      </w:r>
    </w:p>
    <w:p w:rsidR="00B65479" w:rsidRPr="009D0634" w:rsidRDefault="00B65479" w:rsidP="00B65479">
      <w:pPr>
        <w:rPr>
          <w:rFonts w:ascii="Times" w:hAnsi="Times" w:cs="Verdana"/>
        </w:rPr>
      </w:pPr>
      <w:r w:rsidRPr="009D0634">
        <w:t xml:space="preserve">9. </w:t>
      </w:r>
      <w:r w:rsidR="00F0492A" w:rsidRPr="009D0634">
        <w:t xml:space="preserve">The </w:t>
      </w:r>
      <w:r w:rsidRPr="009D0634">
        <w:rPr>
          <w:rFonts w:ascii="Times" w:hAnsi="Times" w:cs="Verdana"/>
          <w:bCs/>
          <w:color w:val="242424"/>
        </w:rPr>
        <w:t>International Covenant on Economic, Social and Cultural Rights affirms that "</w:t>
      </w:r>
      <w:r w:rsidRPr="009D0634">
        <w:rPr>
          <w:rFonts w:ascii="Times" w:hAnsi="Times" w:cs="Verdana"/>
        </w:rPr>
        <w:t>the ideal of free human beings enjoying freedom from fear and want can only be achieved if conditions are created whereby everyone may enjoy his economic, social and cultural rights, as well as his civil and political rights." http://www.ohchr.org/EN/ProfessionalInterest/Pages/CESCR.aspx</w:t>
      </w:r>
    </w:p>
    <w:p w:rsidR="00B65479" w:rsidRPr="009D0634" w:rsidRDefault="00B65479" w:rsidP="00B65479">
      <w:pPr>
        <w:rPr>
          <w:rFonts w:ascii="Times" w:hAnsi="Times" w:cs="Verdana"/>
        </w:rPr>
      </w:pPr>
    </w:p>
    <w:p w:rsidR="00B65479" w:rsidRPr="009D0634" w:rsidRDefault="00B65479" w:rsidP="00B65479">
      <w:pPr>
        <w:rPr>
          <w:rFonts w:ascii="Times" w:hAnsi="Times" w:cs="Verdana"/>
        </w:rPr>
      </w:pPr>
      <w:r w:rsidRPr="009D0634">
        <w:rPr>
          <w:rFonts w:ascii="Times" w:hAnsi="Times" w:cs="Verdana"/>
          <w:bCs/>
          <w:color w:val="242424"/>
        </w:rPr>
        <w:t>The</w:t>
      </w:r>
      <w:r w:rsidRPr="009D0634">
        <w:rPr>
          <w:rFonts w:ascii="Times" w:hAnsi="Times" w:cs="Verdana"/>
          <w:b/>
          <w:bCs/>
          <w:color w:val="242424"/>
        </w:rPr>
        <w:t xml:space="preserve"> </w:t>
      </w:r>
      <w:r w:rsidRPr="009D0634">
        <w:rPr>
          <w:rFonts w:ascii="Times" w:hAnsi="Times" w:cs="Times"/>
          <w:i/>
        </w:rPr>
        <w:t xml:space="preserve">International Convention on the Elimination of all Forms of Racial Discrimination, </w:t>
      </w:r>
      <w:r w:rsidRPr="009D0634">
        <w:rPr>
          <w:rFonts w:ascii="Times" w:hAnsi="Times" w:cs="Verdana"/>
          <w:bCs/>
          <w:i/>
          <w:iCs/>
        </w:rPr>
        <w:t>Part I, Article 2 (</w:t>
      </w:r>
      <w:r w:rsidRPr="009D0634">
        <w:rPr>
          <w:rFonts w:ascii="Times" w:hAnsi="Times" w:cs="Verdana"/>
        </w:rPr>
        <w:t xml:space="preserve">2.) states that "Parties shall, when the circumstances so warrant, take, in the social, economic, cultural and other fields, special and concrete measures to ensure the adequate development and protection of certain racial groups or individuals belonging to them, for the purpose of guaranteeing them the full and equal enjoyment of human rights and fundamental freedoms." Article 5, (e) specifies Economic, social and cultural rights, including "(vi) </w:t>
      </w:r>
      <w:proofErr w:type="gramStart"/>
      <w:r w:rsidRPr="009D0634">
        <w:rPr>
          <w:rFonts w:ascii="Times" w:hAnsi="Times" w:cs="Verdana"/>
        </w:rPr>
        <w:t>The</w:t>
      </w:r>
      <w:proofErr w:type="gramEnd"/>
      <w:r w:rsidRPr="009D0634">
        <w:rPr>
          <w:rFonts w:ascii="Times" w:hAnsi="Times" w:cs="Verdana"/>
        </w:rPr>
        <w:t xml:space="preserve"> right to equal participation in cultural activities." While the </w:t>
      </w:r>
      <w:proofErr w:type="spellStart"/>
      <w:r w:rsidRPr="009D0634">
        <w:rPr>
          <w:rFonts w:ascii="Times" w:hAnsi="Times" w:cs="Verdana"/>
        </w:rPr>
        <w:t>Pionirska</w:t>
      </w:r>
      <w:proofErr w:type="spellEnd"/>
      <w:r w:rsidRPr="009D0634">
        <w:rPr>
          <w:rFonts w:ascii="Times" w:hAnsi="Times" w:cs="Verdana"/>
        </w:rPr>
        <w:t xml:space="preserve"> Street house faces demolition in </w:t>
      </w:r>
      <w:proofErr w:type="spellStart"/>
      <w:r w:rsidRPr="009D0634">
        <w:rPr>
          <w:rFonts w:ascii="Times" w:hAnsi="Times" w:cs="Verdana"/>
        </w:rPr>
        <w:lastRenderedPageBreak/>
        <w:t>Višegrad</w:t>
      </w:r>
      <w:proofErr w:type="spellEnd"/>
      <w:r w:rsidRPr="009D0634">
        <w:rPr>
          <w:rFonts w:ascii="Times" w:hAnsi="Times" w:cs="Verdana"/>
        </w:rPr>
        <w:t xml:space="preserve">, a statue that honors the perpetrators of the genocide has been installed in the middle of town, clearly indicating a discriminatory policy with regard to the cultural practice of </w:t>
      </w:r>
      <w:proofErr w:type="spellStart"/>
      <w:r w:rsidRPr="009D0634">
        <w:rPr>
          <w:rFonts w:ascii="Times" w:hAnsi="Times" w:cs="Verdana"/>
        </w:rPr>
        <w:t>memorialization</w:t>
      </w:r>
      <w:proofErr w:type="spellEnd"/>
      <w:r w:rsidRPr="009D0634">
        <w:rPr>
          <w:rFonts w:ascii="Times" w:hAnsi="Times" w:cs="Verdana"/>
        </w:rPr>
        <w:t>. http://www.ohchr.org/EN/ProfessionalInterest/Pages/CERD.aspx</w:t>
      </w:r>
    </w:p>
    <w:p w:rsidR="00B65479" w:rsidRPr="009D0634" w:rsidRDefault="00B65479" w:rsidP="00B65479">
      <w:pPr>
        <w:rPr>
          <w:rFonts w:ascii="Times" w:hAnsi="Times" w:cs="Verdana"/>
        </w:rPr>
      </w:pPr>
    </w:p>
    <w:p w:rsidR="00B65479" w:rsidRPr="009D0634" w:rsidRDefault="00B65479" w:rsidP="00B65479">
      <w:pPr>
        <w:pStyle w:val="EndnoteText"/>
        <w:rPr>
          <w:rFonts w:ascii="Times" w:hAnsi="Times"/>
        </w:rPr>
      </w:pPr>
      <w:r w:rsidRPr="009D0634">
        <w:rPr>
          <w:rFonts w:ascii="Times" w:hAnsi="Times" w:cs="Verdana"/>
        </w:rPr>
        <w:t xml:space="preserve">10. </w:t>
      </w:r>
      <w:r w:rsidRPr="009D0634">
        <w:rPr>
          <w:rFonts w:ascii="Times" w:hAnsi="Times"/>
          <w:i/>
        </w:rPr>
        <w:t>International Criminal Tribunal for the former Yugoslavia</w:t>
      </w:r>
      <w:r w:rsidRPr="009D0634">
        <w:rPr>
          <w:rFonts w:ascii="Times" w:hAnsi="Times"/>
        </w:rPr>
        <w:t xml:space="preserve">, </w:t>
      </w:r>
      <w:r w:rsidRPr="009D0634">
        <w:rPr>
          <w:rFonts w:ascii="Times" w:hAnsi="Times"/>
          <w:i/>
        </w:rPr>
        <w:t>Third Amended Indictment</w:t>
      </w:r>
      <w:r w:rsidRPr="009D0634">
        <w:rPr>
          <w:rFonts w:ascii="Times" w:hAnsi="Times"/>
        </w:rPr>
        <w:t xml:space="preserve">, </w:t>
      </w:r>
      <w:proofErr w:type="spellStart"/>
      <w:proofErr w:type="gramStart"/>
      <w:r w:rsidRPr="009D0634">
        <w:rPr>
          <w:rFonts w:ascii="Times" w:hAnsi="Times"/>
          <w:i/>
        </w:rPr>
        <w:t>Šešelj</w:t>
      </w:r>
      <w:proofErr w:type="spellEnd"/>
      <w:r w:rsidRPr="009D0634">
        <w:rPr>
          <w:rFonts w:ascii="Times" w:hAnsi="Times"/>
          <w:i/>
        </w:rPr>
        <w:t xml:space="preserve">  </w:t>
      </w:r>
      <w:r w:rsidRPr="009D0634">
        <w:rPr>
          <w:rFonts w:ascii="Times" w:hAnsi="Times"/>
        </w:rPr>
        <w:t>(</w:t>
      </w:r>
      <w:proofErr w:type="gramEnd"/>
      <w:r w:rsidRPr="009D0634">
        <w:rPr>
          <w:rFonts w:ascii="Times" w:hAnsi="Times"/>
        </w:rPr>
        <w:t xml:space="preserve">IT-03-67-T), §17 j, December 7, 2007, accessed November 28, 2014, </w:t>
      </w:r>
      <w:r w:rsidRPr="009D0634">
        <w:rPr>
          <w:rFonts w:ascii="Times" w:hAnsi="Times"/>
        </w:rPr>
        <w:br/>
        <w:t>http://www.icty.org/x/cases/seselj/ind/en/seslj3rdind071207e.pdf</w:t>
      </w:r>
    </w:p>
    <w:p w:rsidR="00995026" w:rsidRPr="009D0634" w:rsidRDefault="00995026"/>
    <w:sectPr w:rsidR="00995026" w:rsidRPr="009D0634" w:rsidSect="00370469">
      <w:footerReference w:type="even" r:id="rId7"/>
      <w:footerReference w:type="default" r:id="rId8"/>
      <w:endnotePr>
        <w:numFmt w:val="decimal"/>
      </w:endnotePr>
      <w:pgSz w:w="12240" w:h="15840"/>
      <w:pgMar w:top="1440" w:right="1440" w:bottom="1440" w:left="1440" w:header="720" w:footer="10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9EB" w:rsidRDefault="007659EB" w:rsidP="005C79C9">
      <w:r>
        <w:separator/>
      </w:r>
    </w:p>
  </w:endnote>
  <w:endnote w:type="continuationSeparator" w:id="0">
    <w:p w:rsidR="007659EB" w:rsidRDefault="007659EB" w:rsidP="005C79C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E85" w:rsidRDefault="00BA468B" w:rsidP="00E33CF0">
    <w:pPr>
      <w:pStyle w:val="Footer"/>
      <w:framePr w:wrap="around" w:vAnchor="text" w:hAnchor="margin" w:xAlign="right" w:y="1"/>
      <w:rPr>
        <w:rStyle w:val="PageNumber"/>
      </w:rPr>
    </w:pPr>
    <w:r>
      <w:rPr>
        <w:rStyle w:val="PageNumber"/>
      </w:rPr>
      <w:fldChar w:fldCharType="begin"/>
    </w:r>
    <w:r w:rsidR="00910E85">
      <w:rPr>
        <w:rStyle w:val="PageNumber"/>
      </w:rPr>
      <w:instrText xml:space="preserve">PAGE  </w:instrText>
    </w:r>
    <w:r>
      <w:rPr>
        <w:rStyle w:val="PageNumber"/>
      </w:rPr>
      <w:fldChar w:fldCharType="end"/>
    </w:r>
  </w:p>
  <w:p w:rsidR="00910E85" w:rsidRDefault="00910E85" w:rsidP="00E33CF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E85" w:rsidRDefault="00BA468B" w:rsidP="00E33CF0">
    <w:pPr>
      <w:pStyle w:val="Footer"/>
      <w:framePr w:wrap="around" w:vAnchor="text" w:hAnchor="margin" w:xAlign="right" w:y="1"/>
      <w:rPr>
        <w:rStyle w:val="PageNumber"/>
      </w:rPr>
    </w:pPr>
    <w:r>
      <w:rPr>
        <w:rStyle w:val="PageNumber"/>
      </w:rPr>
      <w:fldChar w:fldCharType="begin"/>
    </w:r>
    <w:r w:rsidR="00910E85">
      <w:rPr>
        <w:rStyle w:val="PageNumber"/>
      </w:rPr>
      <w:instrText xml:space="preserve">PAGE  </w:instrText>
    </w:r>
    <w:r>
      <w:rPr>
        <w:rStyle w:val="PageNumber"/>
      </w:rPr>
      <w:fldChar w:fldCharType="separate"/>
    </w:r>
    <w:r w:rsidR="00A9281F">
      <w:rPr>
        <w:rStyle w:val="PageNumber"/>
        <w:noProof/>
      </w:rPr>
      <w:t>1</w:t>
    </w:r>
    <w:r>
      <w:rPr>
        <w:rStyle w:val="PageNumber"/>
      </w:rPr>
      <w:fldChar w:fldCharType="end"/>
    </w:r>
  </w:p>
  <w:p w:rsidR="00910E85" w:rsidRDefault="00910E85" w:rsidP="00E33CF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9EB" w:rsidRDefault="007659EB" w:rsidP="005C79C9">
      <w:r>
        <w:separator/>
      </w:r>
    </w:p>
  </w:footnote>
  <w:footnote w:type="continuationSeparator" w:id="0">
    <w:p w:rsidR="007659EB" w:rsidRDefault="007659EB" w:rsidP="005C79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footnotePr>
    <w:footnote w:id="-1"/>
    <w:footnote w:id="0"/>
  </w:footnotePr>
  <w:endnotePr>
    <w:numFmt w:val="decimal"/>
    <w:endnote w:id="-1"/>
    <w:endnote w:id="0"/>
  </w:endnotePr>
  <w:compat>
    <w:useFELayout/>
  </w:compat>
  <w:rsids>
    <w:rsidRoot w:val="005C79C9"/>
    <w:rsid w:val="00011C9D"/>
    <w:rsid w:val="000E714E"/>
    <w:rsid w:val="00120CA8"/>
    <w:rsid w:val="00232AF6"/>
    <w:rsid w:val="00273379"/>
    <w:rsid w:val="00370469"/>
    <w:rsid w:val="00397CE9"/>
    <w:rsid w:val="003B5FD7"/>
    <w:rsid w:val="00406208"/>
    <w:rsid w:val="00417A53"/>
    <w:rsid w:val="00450063"/>
    <w:rsid w:val="004735C1"/>
    <w:rsid w:val="005378FD"/>
    <w:rsid w:val="0056171D"/>
    <w:rsid w:val="005662AD"/>
    <w:rsid w:val="005C79C9"/>
    <w:rsid w:val="005D4802"/>
    <w:rsid w:val="007418C6"/>
    <w:rsid w:val="007659EB"/>
    <w:rsid w:val="0085515B"/>
    <w:rsid w:val="00860354"/>
    <w:rsid w:val="008D3AC5"/>
    <w:rsid w:val="008F32C7"/>
    <w:rsid w:val="00910E85"/>
    <w:rsid w:val="00955E5D"/>
    <w:rsid w:val="00995026"/>
    <w:rsid w:val="009C5EDD"/>
    <w:rsid w:val="009D0634"/>
    <w:rsid w:val="009E2D39"/>
    <w:rsid w:val="00A01950"/>
    <w:rsid w:val="00A9281F"/>
    <w:rsid w:val="00AE5E1A"/>
    <w:rsid w:val="00B03AE8"/>
    <w:rsid w:val="00B117BD"/>
    <w:rsid w:val="00B65479"/>
    <w:rsid w:val="00BA468B"/>
    <w:rsid w:val="00BD4B7D"/>
    <w:rsid w:val="00BE7A16"/>
    <w:rsid w:val="00D83AFA"/>
    <w:rsid w:val="00D9142E"/>
    <w:rsid w:val="00E24D4E"/>
    <w:rsid w:val="00E269F9"/>
    <w:rsid w:val="00E33CF0"/>
    <w:rsid w:val="00EB582E"/>
    <w:rsid w:val="00F0492A"/>
    <w:rsid w:val="00F710FE"/>
    <w:rsid w:val="00FD0EBB"/>
    <w:rsid w:val="00FE7F26"/>
    <w:rsid w:val="00FF0E2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9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79C9"/>
    <w:pPr>
      <w:tabs>
        <w:tab w:val="center" w:pos="4320"/>
        <w:tab w:val="right" w:pos="8640"/>
      </w:tabs>
    </w:pPr>
  </w:style>
  <w:style w:type="character" w:customStyle="1" w:styleId="FooterChar">
    <w:name w:val="Footer Char"/>
    <w:basedOn w:val="DefaultParagraphFont"/>
    <w:link w:val="Footer"/>
    <w:uiPriority w:val="99"/>
    <w:rsid w:val="005C79C9"/>
  </w:style>
  <w:style w:type="paragraph" w:styleId="NormalWeb">
    <w:name w:val="Normal (Web)"/>
    <w:basedOn w:val="Normal"/>
    <w:uiPriority w:val="99"/>
    <w:unhideWhenUsed/>
    <w:rsid w:val="005C79C9"/>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5C79C9"/>
  </w:style>
  <w:style w:type="paragraph" w:styleId="EndnoteText">
    <w:name w:val="endnote text"/>
    <w:basedOn w:val="Normal"/>
    <w:link w:val="EndnoteTextChar"/>
    <w:uiPriority w:val="99"/>
    <w:unhideWhenUsed/>
    <w:rsid w:val="005C79C9"/>
  </w:style>
  <w:style w:type="character" w:customStyle="1" w:styleId="EndnoteTextChar">
    <w:name w:val="Endnote Text Char"/>
    <w:basedOn w:val="DefaultParagraphFont"/>
    <w:link w:val="EndnoteText"/>
    <w:uiPriority w:val="99"/>
    <w:rsid w:val="005C79C9"/>
  </w:style>
  <w:style w:type="character" w:styleId="EndnoteReference">
    <w:name w:val="endnote reference"/>
    <w:basedOn w:val="DefaultParagraphFont"/>
    <w:uiPriority w:val="99"/>
    <w:unhideWhenUsed/>
    <w:rsid w:val="005C79C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79C9"/>
    <w:pPr>
      <w:tabs>
        <w:tab w:val="center" w:pos="4320"/>
        <w:tab w:val="right" w:pos="8640"/>
      </w:tabs>
    </w:pPr>
  </w:style>
  <w:style w:type="character" w:customStyle="1" w:styleId="FooterChar">
    <w:name w:val="Footer Char"/>
    <w:basedOn w:val="DefaultParagraphFont"/>
    <w:link w:val="Footer"/>
    <w:uiPriority w:val="99"/>
    <w:rsid w:val="005C79C9"/>
  </w:style>
  <w:style w:type="paragraph" w:styleId="NormalWeb">
    <w:name w:val="Normal (Web)"/>
    <w:basedOn w:val="Normal"/>
    <w:uiPriority w:val="99"/>
    <w:unhideWhenUsed/>
    <w:rsid w:val="005C79C9"/>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5C79C9"/>
  </w:style>
  <w:style w:type="paragraph" w:styleId="EndnoteText">
    <w:name w:val="endnote text"/>
    <w:basedOn w:val="Normal"/>
    <w:link w:val="EndnoteTextChar"/>
    <w:uiPriority w:val="99"/>
    <w:unhideWhenUsed/>
    <w:rsid w:val="005C79C9"/>
  </w:style>
  <w:style w:type="character" w:customStyle="1" w:styleId="EndnoteTextChar">
    <w:name w:val="Endnote Text Char"/>
    <w:basedOn w:val="DefaultParagraphFont"/>
    <w:link w:val="EndnoteText"/>
    <w:uiPriority w:val="99"/>
    <w:rsid w:val="005C79C9"/>
  </w:style>
  <w:style w:type="character" w:styleId="EndnoteReference">
    <w:name w:val="endnote reference"/>
    <w:basedOn w:val="DefaultParagraphFont"/>
    <w:uiPriority w:val="99"/>
    <w:unhideWhenUsed/>
    <w:rsid w:val="005C79C9"/>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mv.cz/cz/detail-clanku/integrace-balkanu-do-evropske-unie-mezinarodni-konference/"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1652</Words>
  <Characters>9419</Characters>
  <Application>Microsoft Office Word</Application>
  <DocSecurity>0</DocSecurity>
  <Lines>78</Lines>
  <Paragraphs>22</Paragraphs>
  <ScaleCrop>false</ScaleCrop>
  <Company>Southern CT State University</Company>
  <LinksUpToDate>false</LinksUpToDate>
  <CharactersWithSpaces>11049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Pettigrew</dc:creator>
  <cp:lastModifiedBy>Ramic</cp:lastModifiedBy>
  <cp:revision>2</cp:revision>
  <cp:lastPrinted>2014-11-29T03:35:00Z</cp:lastPrinted>
  <dcterms:created xsi:type="dcterms:W3CDTF">2014-12-09T17:54:00Z</dcterms:created>
  <dcterms:modified xsi:type="dcterms:W3CDTF">2014-12-09T17:54:00Z</dcterms:modified>
</cp:coreProperties>
</file>