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C" w:rsidRPr="00C22BE1" w:rsidRDefault="0077218C" w:rsidP="0077218C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</w:pPr>
    </w:p>
    <w:p w:rsidR="00C82981" w:rsidRDefault="00C82981" w:rsidP="00C82981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</w:pP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>Sjećaš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 xml:space="preserve"> li se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>Srebrenice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 xml:space="preserve"> ? – Da se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>nikada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 xml:space="preserve"> ne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>zaboravi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>genocid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 xml:space="preserve"> u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  <w:t>Srebrenici</w:t>
      </w:r>
      <w:proofErr w:type="spellEnd"/>
    </w:p>
    <w:p w:rsidR="00C82981" w:rsidRPr="00C82981" w:rsidRDefault="00C82981" w:rsidP="00C82981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8"/>
          <w:szCs w:val="28"/>
          <w:lang w:val="fr-CA"/>
        </w:rPr>
      </w:pPr>
    </w:p>
    <w:p w:rsidR="0077218C" w:rsidRPr="00C82981" w:rsidRDefault="00C82981" w:rsidP="00C82981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</w:pP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Sve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dok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se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oni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negiraju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genocid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mi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ćemo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ih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tući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naučnom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i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sudskom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istinom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.</w:t>
      </w:r>
      <w:r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Ovaj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serijal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je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zasnovan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na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naučno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verifikovanim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saznanjima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i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bitnim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rezultatima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naučnih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istraživanja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brojnih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i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eminentnih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istraživača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genocida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i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drugih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oblika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zločina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protiv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čovjećnosti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i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međunarodnog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prava u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Evropi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 i </w:t>
      </w:r>
      <w:proofErr w:type="spellStart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svijetu</w:t>
      </w:r>
      <w:proofErr w:type="spellEnd"/>
      <w:r w:rsidRPr="00C82981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.</w:t>
      </w:r>
    </w:p>
    <w:p w:rsidR="00326AD5" w:rsidRPr="00326AD5" w:rsidRDefault="00326AD5" w:rsidP="0077218C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</w:pPr>
    </w:p>
    <w:p w:rsidR="00326AD5" w:rsidRPr="00326AD5" w:rsidRDefault="00326AD5" w:rsidP="0077218C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</w:pPr>
      <w:proofErr w:type="spellStart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>Autor</w:t>
      </w:r>
      <w:proofErr w:type="spellEnd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 xml:space="preserve"> Profesor Emir Ramić, </w:t>
      </w:r>
      <w:proofErr w:type="spellStart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>Direktor</w:t>
      </w:r>
      <w:proofErr w:type="spellEnd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 xml:space="preserve"> </w:t>
      </w:r>
      <w:proofErr w:type="spellStart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>Instituta</w:t>
      </w:r>
      <w:proofErr w:type="spellEnd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 xml:space="preserve"> za </w:t>
      </w:r>
      <w:proofErr w:type="spellStart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>istraživanje</w:t>
      </w:r>
      <w:proofErr w:type="spellEnd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 xml:space="preserve"> </w:t>
      </w:r>
      <w:proofErr w:type="spellStart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>genocida</w:t>
      </w:r>
      <w:proofErr w:type="spellEnd"/>
      <w:r w:rsidRPr="00326AD5">
        <w:rPr>
          <w:rFonts w:asciiTheme="minorHAnsi" w:eastAsia="BookmanOldStyle" w:hAnsiTheme="minorHAnsi" w:cstheme="minorHAnsi"/>
          <w:color w:val="000000"/>
          <w:sz w:val="24"/>
          <w:szCs w:val="24"/>
          <w:lang w:val="fr-CA"/>
        </w:rPr>
        <w:t>, Kanada</w:t>
      </w:r>
    </w:p>
    <w:p w:rsidR="0077218C" w:rsidRPr="00C22BE1" w:rsidRDefault="0077218C" w:rsidP="0077218C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bs-Latn-BA"/>
        </w:rPr>
      </w:pPr>
    </w:p>
    <w:p w:rsidR="00B12173" w:rsidRPr="00C82981" w:rsidRDefault="00B12173" w:rsidP="00B12173">
      <w:pPr>
        <w:jc w:val="both"/>
        <w:rPr>
          <w:rFonts w:asciiTheme="minorHAnsi" w:hAnsiTheme="minorHAnsi" w:cstheme="minorHAnsi"/>
          <w:b/>
          <w:i/>
          <w:sz w:val="24"/>
          <w:szCs w:val="24"/>
          <w:lang w:val="bs-Latn-BA"/>
        </w:rPr>
      </w:pP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sistematskom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planiranom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genocidu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nad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Bo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njacima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Bosne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Hercegovine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oko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sigurne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zone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Ujedinjenih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nacija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Srebrenice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jula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1995.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estvovalo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(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raznim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osnovama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razli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ite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),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prema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rezultatima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istra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ivanja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Vlade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Republike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Srpske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preko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25.000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ljudi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.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ini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sredstva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ubijanja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rtava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mogu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ozna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iti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monstruoznim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. 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karci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djeca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starci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ubijani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vatrenim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oru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jem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direktno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djelovanje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iz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svih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vrsta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adijskog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oru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minobaca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modifikovanih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aviobombi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itd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., </w:t>
      </w:r>
      <w:proofErr w:type="spellStart"/>
      <w:proofErr w:type="gram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zatim</w:t>
      </w:r>
      <w:proofErr w:type="spellEnd"/>
      <w:proofErr w:type="gram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evima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posebnim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spravama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napravljenim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prire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đ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svrhu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.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Postoje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dokazi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da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Bo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njake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ž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ive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spaljivali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ubijali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zvjerski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in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uklju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uju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ć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itave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porodice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tako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nekim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masovnim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grobnicama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otkriveni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identifikovani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posmrtni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ostaci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itavih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porodica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“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operaciji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ubijanja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”,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uglavnom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etiri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dana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namjerom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prema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utvr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đ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enom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obrascu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oko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sigurne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zone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Ujedinjenih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nacija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Srebrenice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jula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1995.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likvidirano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preko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8.000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Bo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njaka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Bosne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Hercegovine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zbog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njihove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nacionalne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etni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vjerske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grupe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kao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takve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š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ivjeli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š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ž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ive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teritoriji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koju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srpski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agresor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skladu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srpskim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velikodr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avnim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projektom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srpskom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nacionalisti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ideologijom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politikom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praksom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osvaja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kog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genocidnog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karaktera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osvojiti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pripojiti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Srbiji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. 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zauzimanju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sigurne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zone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Ujedinjenih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nacija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Srebrenice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izvr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enju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genocida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nad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Bo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njacima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jula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1995.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estvovale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pored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vojnih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policijskih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snaga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kolaboracionisti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petokolona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fa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isti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genocidne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tvorevine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Republike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Srpske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oru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ane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snage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Savezne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republike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Jugoslavije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(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Vojska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Jugoslavije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specijalne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jedinice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Ministarstva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unutra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š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njih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poslova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Srbije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)</w:t>
      </w:r>
      <w:proofErr w:type="gramStart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" .</w:t>
      </w:r>
      <w:proofErr w:type="gramEnd"/>
    </w:p>
    <w:p w:rsidR="00B12173" w:rsidRPr="00C82981" w:rsidRDefault="00B12173" w:rsidP="00B12173">
      <w:pPr>
        <w:jc w:val="both"/>
        <w:rPr>
          <w:rFonts w:asciiTheme="minorHAnsi" w:hAnsiTheme="minorHAnsi" w:cstheme="minorHAnsi"/>
          <w:b/>
          <w:i/>
          <w:sz w:val="24"/>
          <w:szCs w:val="24"/>
          <w:lang w:val="bs-Latn-BA"/>
        </w:rPr>
      </w:pP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(Č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eki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ć,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Smail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Genocid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istina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genocidu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Bosni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Hercegovini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Institut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istra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ivanje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zlo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ina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protiv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ovje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nosti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i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me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đ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unarodnog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prava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Univerziteta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u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Sarajevu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</w:t>
      </w:r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Sarajevo</w:t>
      </w:r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, 2012, </w:t>
      </w:r>
      <w:proofErr w:type="spellStart"/>
      <w:r w:rsidRPr="00B12173">
        <w:rPr>
          <w:rFonts w:asciiTheme="minorHAnsi" w:hAnsiTheme="minorHAnsi" w:cstheme="minorHAnsi"/>
          <w:b/>
          <w:i/>
          <w:sz w:val="24"/>
          <w:szCs w:val="24"/>
          <w:lang w:val="fr-CA"/>
        </w:rPr>
        <w:t>str</w:t>
      </w:r>
      <w:proofErr w:type="spellEnd"/>
      <w:r w:rsidRPr="00C82981">
        <w:rPr>
          <w:rFonts w:asciiTheme="minorHAnsi" w:hAnsiTheme="minorHAnsi" w:cstheme="minorHAnsi"/>
          <w:b/>
          <w:i/>
          <w:sz w:val="24"/>
          <w:szCs w:val="24"/>
          <w:lang w:val="bs-Latn-BA"/>
        </w:rPr>
        <w:t>. 25.)</w:t>
      </w:r>
    </w:p>
    <w:p w:rsidR="00B12173" w:rsidRPr="00326AD5" w:rsidRDefault="00B12173" w:rsidP="00C22BE1">
      <w:pPr>
        <w:jc w:val="both"/>
        <w:rPr>
          <w:rFonts w:asciiTheme="minorHAnsi" w:hAnsiTheme="minorHAnsi" w:cstheme="minorHAnsi"/>
          <w:b/>
          <w:sz w:val="28"/>
          <w:szCs w:val="28"/>
          <w:lang w:val="bs-Latn-BA"/>
        </w:rPr>
      </w:pPr>
    </w:p>
    <w:p w:rsidR="0077218C" w:rsidRPr="00326AD5" w:rsidRDefault="0077218C" w:rsidP="0077218C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32"/>
          <w:szCs w:val="32"/>
          <w:lang w:val="bs-Latn-BA"/>
        </w:rPr>
      </w:pPr>
      <w:r w:rsidRPr="00326AD5">
        <w:rPr>
          <w:rFonts w:asciiTheme="minorHAnsi" w:eastAsia="BookmanOldStyle" w:hAnsiTheme="minorHAnsi" w:cstheme="minorHAnsi"/>
          <w:b/>
          <w:color w:val="000000"/>
          <w:sz w:val="32"/>
          <w:szCs w:val="32"/>
          <w:lang w:val="fr-CA"/>
        </w:rPr>
        <w:t>Genocid</w:t>
      </w:r>
      <w:r w:rsidRPr="00326AD5">
        <w:rPr>
          <w:rFonts w:asciiTheme="minorHAnsi" w:eastAsia="BookmanOldStyle" w:hAnsiTheme="minorHAnsi" w:cstheme="minorHAnsi"/>
          <w:b/>
          <w:color w:val="000000"/>
          <w:sz w:val="32"/>
          <w:szCs w:val="32"/>
          <w:lang w:val="bs-Latn-BA"/>
        </w:rPr>
        <w:t xml:space="preserve"> </w:t>
      </w:r>
      <w:r w:rsidRPr="00326AD5">
        <w:rPr>
          <w:rFonts w:asciiTheme="minorHAnsi" w:eastAsia="BookmanOldStyle" w:hAnsiTheme="minorHAnsi" w:cstheme="minorHAnsi"/>
          <w:b/>
          <w:color w:val="000000"/>
          <w:sz w:val="32"/>
          <w:szCs w:val="32"/>
          <w:lang w:val="fr-CA"/>
        </w:rPr>
        <w:t>u</w:t>
      </w:r>
      <w:r w:rsidRPr="00326AD5">
        <w:rPr>
          <w:rFonts w:asciiTheme="minorHAnsi" w:eastAsia="BookmanOldStyle" w:hAnsiTheme="minorHAnsi" w:cstheme="minorHAnsi"/>
          <w:b/>
          <w:color w:val="000000"/>
          <w:sz w:val="32"/>
          <w:szCs w:val="32"/>
          <w:lang w:val="bs-Latn-BA"/>
        </w:rPr>
        <w:t xml:space="preserve"> </w:t>
      </w:r>
      <w:proofErr w:type="spellStart"/>
      <w:r w:rsidRPr="00326AD5">
        <w:rPr>
          <w:rFonts w:asciiTheme="minorHAnsi" w:eastAsia="BookmanOldStyle" w:hAnsiTheme="minorHAnsi" w:cstheme="minorHAnsi"/>
          <w:b/>
          <w:color w:val="000000"/>
          <w:sz w:val="32"/>
          <w:szCs w:val="32"/>
          <w:lang w:val="fr-CA"/>
        </w:rPr>
        <w:t>Srebrenici</w:t>
      </w:r>
      <w:proofErr w:type="spellEnd"/>
    </w:p>
    <w:p w:rsidR="0077218C" w:rsidRPr="00C22BE1" w:rsidRDefault="0077218C" w:rsidP="0077218C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bs-Latn-BA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Srpski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agresor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(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Savezna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Republika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Jugoslavija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- </w:t>
      </w:r>
      <w:r w:rsidRPr="00C22BE1">
        <w:rPr>
          <w:rFonts w:asciiTheme="minorHAnsi" w:hAnsiTheme="minorHAnsi" w:cstheme="minorHAnsi"/>
          <w:color w:val="211D1E"/>
          <w:lang w:val="fr-CA"/>
        </w:rPr>
        <w:t>Srbija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Crna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Gora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) </w:t>
      </w:r>
      <w:r w:rsidRPr="00C22BE1">
        <w:rPr>
          <w:rFonts w:asciiTheme="minorHAnsi" w:hAnsiTheme="minorHAnsi" w:cstheme="minorHAnsi"/>
          <w:color w:val="211D1E"/>
          <w:lang w:val="fr-CA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uz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fr-CA"/>
        </w:rPr>
        <w:t>e</w:t>
      </w:r>
      <w:r w:rsidRPr="00C22BE1">
        <w:rPr>
          <w:rFonts w:asciiTheme="minorHAnsi" w:hAnsiTheme="minorHAnsi" w:cstheme="minorHAnsi"/>
          <w:color w:val="211D1E"/>
          <w:lang w:val="hr-BA"/>
        </w:rPr>
        <w:t>šć</w:t>
      </w:r>
      <w:r w:rsidRPr="00C22BE1">
        <w:rPr>
          <w:rFonts w:asciiTheme="minorHAnsi" w:hAnsiTheme="minorHAnsi" w:cstheme="minorHAnsi"/>
          <w:color w:val="211D1E"/>
          <w:lang w:val="fr-CA"/>
        </w:rPr>
        <w:t>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njegovih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(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srpskih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)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kolaboracionista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iz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Bosne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Hercegovine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  <w:lang w:val="fr-CA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oko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Srebrenice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-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sigurne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zone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UN</w:t>
      </w:r>
      <w:r w:rsidRPr="00C22BE1">
        <w:rPr>
          <w:rFonts w:asciiTheme="minorHAnsi" w:hAnsiTheme="minorHAnsi" w:cstheme="minorHAnsi"/>
          <w:color w:val="211D1E"/>
          <w:lang w:val="hr-BA"/>
        </w:rPr>
        <w:t>-</w:t>
      </w:r>
      <w:r w:rsidRPr="00C22BE1">
        <w:rPr>
          <w:rFonts w:asciiTheme="minorHAnsi" w:hAnsiTheme="minorHAnsi" w:cstheme="minorHAnsi"/>
          <w:color w:val="211D1E"/>
          <w:lang w:val="fr-CA"/>
        </w:rPr>
        <w:t>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jula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1995, </w:t>
      </w:r>
      <w:r w:rsidRPr="00C22BE1">
        <w:rPr>
          <w:rFonts w:asciiTheme="minorHAnsi" w:hAnsiTheme="minorHAnsi" w:cstheme="minorHAnsi"/>
          <w:color w:val="211D1E"/>
          <w:lang w:val="fr-CA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toku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jedne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sedmice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fr-CA"/>
        </w:rPr>
        <w:t>na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hiljade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zarobljenih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Bo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njaka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likvidirao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zatrpao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u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masovne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lastRenderedPageBreak/>
        <w:t>grobnice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;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na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stotine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ž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ivih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je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zakopao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;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mu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karce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>, ž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ene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dje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ake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je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sakatio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klao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;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djecu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ubijao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pred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o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ima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majki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;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natjerao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djeda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da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pojede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d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>ž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igericu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svoga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unuka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;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silovao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ž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ene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djevojke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;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deportovao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oko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30.000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ljudi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uglavnom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ž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ene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fr-CA"/>
        </w:rPr>
        <w:t>i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  <w:lang w:val="fr-CA"/>
        </w:rPr>
        <w:t>djecu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priredio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scene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dostojne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Danteovog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lang w:val="fr-CA"/>
        </w:rPr>
        <w:t>pakla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. </w:t>
      </w:r>
      <w:r w:rsidRPr="00C22BE1">
        <w:rPr>
          <w:rFonts w:asciiTheme="minorHAnsi" w:hAnsiTheme="minorHAnsi" w:cstheme="minorHAnsi"/>
          <w:color w:val="211D1E"/>
        </w:rPr>
        <w:t>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tome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postoje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brojni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dokazi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</w:rPr>
        <w:t>me</w:t>
      </w:r>
      <w:r w:rsidRPr="00C22BE1">
        <w:rPr>
          <w:rFonts w:asciiTheme="minorHAnsi" w:hAnsiTheme="minorHAnsi" w:cstheme="minorHAnsi"/>
          <w:color w:val="211D1E"/>
          <w:lang w:val="hr-BA"/>
        </w:rPr>
        <w:t>đ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kojima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masovne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grobnice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koje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pokrila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trava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</w:rPr>
        <w:t>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zvijeri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raznijeli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kosti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plitko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zakopanih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proofErr w:type="gramStart"/>
      <w:r w:rsidRPr="00C22BE1">
        <w:rPr>
          <w:rFonts w:asciiTheme="minorHAnsi" w:hAnsiTheme="minorHAnsi" w:cstheme="minorHAnsi"/>
          <w:color w:val="211D1E"/>
        </w:rPr>
        <w:t>ili</w:t>
      </w:r>
      <w:proofErr w:type="spellEnd"/>
      <w:proofErr w:type="gram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ini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ostavljenih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tijela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. </w:t>
      </w:r>
      <w:r w:rsidRPr="00C22BE1">
        <w:rPr>
          <w:rFonts w:asciiTheme="minorHAnsi" w:hAnsiTheme="minorHAnsi" w:cstheme="minorHAnsi"/>
          <w:color w:val="211D1E"/>
          <w:lang w:val="it-IT"/>
        </w:rPr>
        <w:t>To su, prema ICTY-u 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scene iz pakla, napisane na najmračnijim stranicama ljudske historije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”. </w:t>
      </w:r>
    </w:p>
    <w:p w:rsidR="0077218C" w:rsidRPr="00C22BE1" w:rsidRDefault="0077218C" w:rsidP="0077218C">
      <w:pPr>
        <w:pStyle w:val="CM6"/>
        <w:spacing w:after="0"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6"/>
        <w:spacing w:after="0"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Genocid nad Bošnjacima Bosne i Hercegovine u i oko sigurne zone Ujedinjenih nacija Srebrenici, jula 1995, po svojim je razmjerama paradigma stradanja Bosne i Bošnjaka. U Srebrenici - sigurnoj zoni Ujedinjenih nacija, jula 1995, posebno je izražen karakter oružanog sukoba i priroda zločina u Bosni i Hercegovini. Agresija (međunarodni oružani sukob) je bila perfidna, brutalna – osvajačkog i genocidnog karaktera. Na tom je području </w:t>
      </w:r>
      <w:r w:rsidRPr="00C22BE1">
        <w:rPr>
          <w:rFonts w:asciiTheme="minorHAnsi" w:hAnsiTheme="minorHAnsi" w:cstheme="minorHAnsi"/>
          <w:color w:val="211D1E"/>
          <w:spacing w:val="-2"/>
          <w:lang w:val="it-IT"/>
        </w:rPr>
        <w:t>javno, uz prisustvo i saučesništvo vojnika Ujedinjenih nacija (Holandski bataljon), izvršen genocid nad Bošnjacima.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>“Vojska Republike Srpske” je 11. jula 1995. zauzela Srebrenicu, sigurnu zonu Ujedinjenih nacija. Holandski bataljon 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nije ispalio ni jedan jedini hitac u pravcu nadolazećih srpskih snaga</w:t>
      </w:r>
      <w:r w:rsidRPr="00C22BE1">
        <w:rPr>
          <w:rFonts w:asciiTheme="minorHAnsi" w:hAnsiTheme="minorHAnsi" w:cstheme="minorHAnsi"/>
          <w:color w:val="211D1E"/>
          <w:lang w:val="it-IT"/>
        </w:rPr>
        <w:t>”. U 16,20 sati 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grad Srebrenicu su već preplavili Srbi</w:t>
      </w:r>
      <w:r w:rsidRPr="00C22BE1">
        <w:rPr>
          <w:rFonts w:asciiTheme="minorHAnsi" w:hAnsiTheme="minorHAnsi" w:cstheme="minorHAnsi"/>
          <w:color w:val="211D1E"/>
          <w:lang w:val="it-IT"/>
        </w:rPr>
        <w:t>”. Oko 16,30 sati hiljade izbjeglica bježalo je prema Potočarima. Kasno poslijepodne generali Ratko Mladić, Milenko Živanović, Radislav Krstić i drugi oficiri Vojske Republike Srpske “trijumfalno” su prošetali praznim ulicama Srebrenice, a veliki broj (na hiljade) izbjeglica kretao se prema Potočarima, očajnički tražeći zaštitu od Holandskog bataljona. Na trgu u Srebrenici general Ratko Mladić je izjavio: 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Evo nas 11. jula 1995. godine u srpskoj Srebrenici. Uoči još jednog praznika srpskog poklanjamo srpskom narodu ovaj grad. Napokon je došao trenutak da se poslije bune protiv dahija Turcima osvetimo na ovom prostoru</w:t>
      </w:r>
      <w:r w:rsidRPr="00C22BE1">
        <w:rPr>
          <w:rFonts w:asciiTheme="minorHAnsi" w:hAnsiTheme="minorHAnsi" w:cstheme="minorHAnsi"/>
          <w:color w:val="211D1E"/>
          <w:lang w:val="it-IT"/>
        </w:rPr>
        <w:t>.” Karadžić je lično (“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radi marketinga</w:t>
      </w:r>
      <w:r w:rsidRPr="00C22BE1">
        <w:rPr>
          <w:rFonts w:asciiTheme="minorHAnsi" w:hAnsiTheme="minorHAnsi" w:cstheme="minorHAnsi"/>
          <w:color w:val="211D1E"/>
          <w:lang w:val="it-IT"/>
        </w:rPr>
        <w:t>”, 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treba mu to radi nekih stvari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”) naredio da se u Srebrenici, pored srpske, postavi i grčka zastava, čiji su državljani (tj. Grci), pored Rusa i drugih, učestvovali u napadu i zauzimanju Srebrenice. </w:t>
      </w:r>
    </w:p>
    <w:p w:rsidR="0077218C" w:rsidRPr="00C22BE1" w:rsidRDefault="0077218C" w:rsidP="0077218C">
      <w:pPr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C22BE1">
        <w:rPr>
          <w:rFonts w:asciiTheme="minorHAnsi" w:hAnsiTheme="minorHAnsi" w:cstheme="minorHAnsi"/>
          <w:sz w:val="24"/>
          <w:szCs w:val="24"/>
          <w:lang w:val="it-IT"/>
        </w:rPr>
        <w:t xml:space="preserve">            </w:t>
      </w:r>
    </w:p>
    <w:p w:rsidR="0077218C" w:rsidRPr="00C22BE1" w:rsidRDefault="0077218C" w:rsidP="0077218C">
      <w:pPr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C22BE1">
        <w:rPr>
          <w:rFonts w:asciiTheme="minorHAnsi" w:hAnsiTheme="minorHAnsi" w:cstheme="minorHAnsi"/>
          <w:sz w:val="24"/>
          <w:szCs w:val="24"/>
          <w:lang w:val="it-IT"/>
        </w:rPr>
        <w:t xml:space="preserve">Srpske vojne i policijske snage, uključujući i </w:t>
      </w:r>
      <w:r w:rsidRPr="00C22BE1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jedinice iz Srbije i </w:t>
      </w:r>
      <w:r w:rsidRPr="00C22BE1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Pr="00C22BE1">
        <w:rPr>
          <w:rFonts w:asciiTheme="minorHAnsi" w:hAnsiTheme="minorHAnsi" w:cstheme="minorHAnsi"/>
          <w:bCs/>
          <w:sz w:val="24"/>
          <w:szCs w:val="24"/>
          <w:lang w:val="it-IT"/>
        </w:rPr>
        <w:t>Republike Srpske Krajine</w:t>
      </w:r>
      <w:r w:rsidRPr="00C22BE1">
        <w:rPr>
          <w:rFonts w:asciiTheme="minorHAnsi" w:hAnsiTheme="minorHAnsi" w:cstheme="minorHAnsi"/>
          <w:sz w:val="24"/>
          <w:szCs w:val="24"/>
          <w:lang w:val="it-IT"/>
        </w:rPr>
        <w:t xml:space="preserve">”, su 12. i 13. jula 1995, po kratkom postupku, na raznim mjestima oko baze Ujedinjenih nacija u Potočarima </w:t>
      </w:r>
      <w:r w:rsidRPr="00C22BE1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likvidirale </w:t>
      </w:r>
      <w:r w:rsidRPr="00C22BE1">
        <w:rPr>
          <w:rFonts w:asciiTheme="minorHAnsi" w:hAnsiTheme="minorHAnsi" w:cstheme="minorHAnsi"/>
          <w:sz w:val="24"/>
          <w:szCs w:val="24"/>
          <w:lang w:val="it-IT"/>
        </w:rPr>
        <w:t>brojne muškarce bošnjačke nacionalnosti, uključujući djecu i žene.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“Vojska Republike Srpske” je u toku 12. i 13. jula 1995. organizirano i planski vršila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deportaciju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žena, djece i staraca iz Potočara prema Kladnju. Oko podne 12. jula 1995, prema utvrđenom planu, brojni autobusi i kamioni, uključujući i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vozila iz Srbije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, počeli su stizati u Potočare, kako bi izvršili deportaciju žena, djece i staraca.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U Potočarima je 12. i 13. jula 1995. najdramatičnije bilo sistematsko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odvajanje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i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razdvajanje muškaraca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i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dječaka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od žena i djece. Od jutra 12. jula velikosrpske snage su, u prisustvu i po naređenju Ratka Mladića, i uz učešće policajaca s psima, odabirale i izdvajale muškarce i djecu od ostalih izbjeglica i odvodile, pritvarale i držale ih na zasebnim mjestima u i oko Potočara. Pri tome su, na jednoj strani, žene i djeca plakali i vrištali, posebno djeca koja su gledala kako im odvode očeve, a na drugoj se čuli jauci, urlanje, zapomaganje, pucnji. To je trajalo cijelu noć 12. jula 1995. Izdvojene su odvodili na jednu lokaciju ispred Fabrike cinka i zatim ih iste večeri kamionima odvozili na druga mjesta zatočenja. Kada su izbjeglice počeli ukrcavati u autobuse, srpski vojnici i policajci sistematski su izdvajali muškarce koji su se u gužvi pokušavali ukrcati, oduzimajući im ličnu imovinu (lične dokumente i dragocjenosti). Te su ljude odvodili i u zgradu poznatu kao “Bijela kuća” (u neposrednoj blizini baze Ujedinjenih nacija), gdje su ih prisiljavali da prije ulaska, na velikoj hrpi ispred zgrade, ostave svoje stvari, uključujući novac i lične karte, koje su oduzimane i kasnije spaljene. Svi izdvojeni muškarci držani su u krajnje nepovoljnim i užasnim uvjetima, pri čemu su neki zlostavljani i ubijani. Među njima je bilo dosta dječaka. Razdvajanje je nastavljeno i za vrijeme ukrcavanja u vozila i u toku deportacije.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>Najveći broj odvojenih Bošnjaka u Potočarima (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preko 1.000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), počevši od poslijepodneva </w:t>
      </w:r>
      <w:r w:rsidRPr="00C22BE1">
        <w:rPr>
          <w:rFonts w:asciiTheme="minorHAnsi" w:hAnsiTheme="minorHAnsi" w:cstheme="minorHAnsi"/>
          <w:color w:val="211D1E"/>
          <w:spacing w:val="-6"/>
          <w:lang w:val="it-IT"/>
        </w:rPr>
        <w:t xml:space="preserve">12. i tokom cijelog 13. jula 1995, ukrcavan je u zasebna vozila i iz Potočara odvezen na </w:t>
      </w:r>
      <w:r w:rsidRPr="00C22BE1">
        <w:rPr>
          <w:rFonts w:asciiTheme="minorHAnsi" w:hAnsiTheme="minorHAnsi" w:cstheme="minorHAnsi"/>
          <w:bCs/>
          <w:color w:val="211D1E"/>
          <w:spacing w:val="-6"/>
          <w:lang w:val="it-IT"/>
        </w:rPr>
        <w:t>mjesta zatočenja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6"/>
          <w:lang w:val="it-IT"/>
        </w:rPr>
        <w:t>u Bratuncu, gdje su dovođeni i zarobljenici iz zbjega (“kolone”), a odatle odvođeni na mjesta likvidacije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Kasno poslijepodne 13. jula 1995. između 1.000 i 1.500 zarobljenih u Sandićima odvedeno je u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Kravicu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i natjerano da uđu u skladište Osnovne organizacije kooperanata “Kravica” (zemljoradnička zadruga), gdje je izvršen veliki masakr. Oko 18 sati svi su likvidirani (zoljama, ručnim bacačima, ručnim bombama i puščanim mecima). </w:t>
      </w:r>
    </w:p>
    <w:p w:rsidR="0077218C" w:rsidRPr="00C22BE1" w:rsidRDefault="0077218C" w:rsidP="0077218C">
      <w:pPr>
        <w:jc w:val="left"/>
        <w:rPr>
          <w:rFonts w:asciiTheme="minorHAnsi" w:hAnsiTheme="minorHAnsi" w:cstheme="minorHAnsi"/>
          <w:color w:val="211D1E"/>
          <w:spacing w:val="-4"/>
          <w:sz w:val="24"/>
          <w:szCs w:val="24"/>
          <w:lang w:val="it-IT"/>
        </w:rPr>
      </w:pPr>
      <w:r w:rsidRPr="00C22BE1">
        <w:rPr>
          <w:rFonts w:asciiTheme="minorHAnsi" w:hAnsiTheme="minorHAnsi" w:cstheme="minorHAnsi"/>
          <w:color w:val="211D1E"/>
          <w:sz w:val="24"/>
          <w:szCs w:val="24"/>
          <w:lang w:val="it-IT"/>
        </w:rPr>
        <w:t xml:space="preserve">Mnogi zarobljenici likvidirani su u Bratuncu, u školi “Vuk Karadžić”, kao i na drugim mjestima na putu Kravica - Milići, uključujući i Konjević-Polje, gdje su vršena zarobljavanja i </w:t>
      </w:r>
      <w:r w:rsidRPr="00C22BE1">
        <w:rPr>
          <w:rFonts w:asciiTheme="minorHAnsi" w:hAnsiTheme="minorHAnsi" w:cstheme="minorHAnsi"/>
          <w:color w:val="211D1E"/>
          <w:spacing w:val="-4"/>
          <w:sz w:val="24"/>
          <w:szCs w:val="24"/>
          <w:lang w:val="it-IT"/>
        </w:rPr>
        <w:t>likvidacije</w:t>
      </w:r>
    </w:p>
    <w:p w:rsidR="0077218C" w:rsidRPr="00C22BE1" w:rsidRDefault="0077218C" w:rsidP="0077218C">
      <w:pPr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C22BE1">
        <w:rPr>
          <w:rFonts w:asciiTheme="minorHAnsi" w:hAnsiTheme="minorHAnsi" w:cstheme="minorHAnsi"/>
          <w:color w:val="211D1E"/>
          <w:sz w:val="24"/>
          <w:szCs w:val="24"/>
          <w:lang w:val="it-IT"/>
        </w:rPr>
        <w:t xml:space="preserve">U kasnim večernjim satima, 13. jula 1995, otpočeo je, prema instrukcijama Radovana Karadžića i </w:t>
      </w:r>
      <w:r w:rsidRPr="00C22BE1">
        <w:rPr>
          <w:rFonts w:asciiTheme="minorHAnsi" w:hAnsiTheme="minorHAnsi" w:cstheme="minorHAnsi"/>
          <w:bCs/>
          <w:color w:val="211D1E"/>
          <w:sz w:val="24"/>
          <w:szCs w:val="24"/>
          <w:lang w:val="it-IT"/>
        </w:rPr>
        <w:t>naređenju generala Mladića da se zarobljenici odvedu u Zvornik i strijeljaju</w:t>
      </w:r>
      <w:r w:rsidRPr="00C22BE1">
        <w:rPr>
          <w:rFonts w:asciiTheme="minorHAnsi" w:hAnsiTheme="minorHAnsi" w:cstheme="minorHAnsi"/>
          <w:color w:val="211D1E"/>
          <w:sz w:val="24"/>
          <w:szCs w:val="24"/>
          <w:lang w:val="it-IT"/>
        </w:rPr>
        <w:t xml:space="preserve">, proces odvođenja zarobljenika na područje Zvornika. Te je večeri i tokom noći 13. i 14. jula 1995. iz Bratunca i okoline prevezeno (sa oko 30 autobusa) oko 2.000-2.500 muškaraca, izdvojenih u Potočarima i zarobljenih iz zbjega u pokušaju bjekstva iz srebreničke enklave, u salu </w:t>
      </w:r>
      <w:r w:rsidRPr="00C22BE1">
        <w:rPr>
          <w:rFonts w:asciiTheme="minorHAnsi" w:hAnsiTheme="minorHAnsi" w:cstheme="minorHAnsi"/>
          <w:bCs/>
          <w:color w:val="211D1E"/>
          <w:sz w:val="24"/>
          <w:szCs w:val="24"/>
          <w:lang w:val="it-IT"/>
        </w:rPr>
        <w:t xml:space="preserve">osnovne škole u Grbavcima (kod Orahovca) </w:t>
      </w:r>
      <w:r w:rsidRPr="00C22BE1">
        <w:rPr>
          <w:rFonts w:asciiTheme="minorHAnsi" w:hAnsiTheme="minorHAnsi" w:cstheme="minorHAnsi"/>
          <w:color w:val="211D1E"/>
          <w:sz w:val="24"/>
          <w:szCs w:val="24"/>
          <w:lang w:val="it-IT"/>
        </w:rPr>
        <w:t xml:space="preserve">i u drugim školama, gdje je jedan broj strijeljan iza škole, na poljani, a drugi je prebačen na drugu lokaciju i likvidiran. U ranim poslijepodnevnim satima, 14. jula 1995, pripadnici “Vojske Republike Srpske” su muškarcima iz škole u Grbavcima, kojih je, po nekim procjenama, bilo oko 1.000, stavili poveze na oči, ukrcali u kamione i odveli na jedno obližnje polje (stratište) kod Orahovca, naredili im da siđu s kamiona i po prijekom ih postupku likvidirali automatskim oružjem. Svima su prethodno povezane oči. Egzekuciju je lično nadgledao general Ratko Mladić. Ubijeni su odmah (14. i 15. jula) zatrpani u masovne grobnice.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Pripadnici Vojske i/ili Ministarstva unutrašnjih poslova “Republike Srpske” su 14. jula (poslijepodne) između 1.500-2.000 zarobljenika s mjesta zatočenja u Bratuncu i okolini prevezli u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Petkovce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i zatočili u sali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osnovne škole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, gdje su ih udarali, tukli, zlostavljali i pucali u njih iz automatskog oružja. Zarobljenicima su žicom vezali ruke na leđima, natjerali ih da izuju cipele i u noći 14. jula, te u ranim jutarnjim satima 15. jula, kamionima ih prevozili do jednog mjesta kod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Brane kod Petkovaca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, gdje je već bilo puno mrtvih, koji su ležali licem prema zemlji, ruku vezanih na leđima. Okupili su ih ispod brane i po prijekom postupku likvidirali automatskim oružjem u grupama 5-10 ljudi. Ujutro 15. jula 1995. pripadnici “Vojske Republike Srpske” pomoću rovokopača i druge teške mehanizacije pokopavali su žrtve dok su likvidacije i dalje vršene.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Šesnaestog jula 1995, na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Vojnoj ekonomiji Branjevo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je, prema utvrđenom obrascu, ubijeno oko 1.200 zatočenika, koji su 14. jula 1995. odvezeni u Pilicu, nakon čega su ih prozvali da izađu iz škole, ukrcali u autobuse ruku vezanih na leđima i odvezli na Vojnu ekonomiju Branjevo, gdje su ih postrojavali u grupama od deset i likvidirali. Poslije toga rovokopač je pokupio leševe.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Istoga je dana (oko 15 sati) izvršena još jedna likvidacija zarobljenih. Tada su pripadnici Bratunačke brigade, zajedno s drugim pripadnicima Vojske i Ministarstva za unutrašnje poslove “Republike Srpske”, u zgradi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Doma kulture u Pilici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po prijekom postupku automatskim oružjem likvidirali oko 500 ljudi. Sljedećeg dana su pripadnici Zvorničke brigade pokupili leševe žrtava, prevezli ih na Vojnu ekonomiju Branjevo i pokopali u masovnu grobnicu.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Također, oko 16. jula 1995. “Vojska Republike Srpske” je likvidirala više stotina zarobljenih (oko 500) na osami u blizini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Kozluka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i pokopala ih u obližnju masovnu grobnicu.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 xml:space="preserve">Oružane snage “Republike Srpske” su, u sadejstvu s jedinicama iz Srbije i “Republike srpska krajina”, te stranim plaćenicima, a u skladu s velikosrpskom ideologijom, politikom i praksom,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deportirale </w:t>
      </w:r>
      <w:r w:rsidRPr="00C22BE1">
        <w:rPr>
          <w:rFonts w:asciiTheme="minorHAnsi" w:hAnsiTheme="minorHAnsi" w:cstheme="minorHAnsi"/>
          <w:color w:val="211D1E"/>
          <w:lang w:val="it-IT"/>
        </w:rPr>
        <w:t>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sve muslimanske žene i djecu”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iz Potočara i na hiljade muškaraca i dječaka, koji su, nakon zauzimanja Srebrenice, sigurne zone Ujedinjenih nacija, pokušali pobjeći,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zarobile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,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zatočile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i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likvidirale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, te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 xml:space="preserve">zatrpale </w:t>
      </w:r>
      <w:r w:rsidRPr="00C22BE1">
        <w:rPr>
          <w:rFonts w:asciiTheme="minorHAnsi" w:hAnsiTheme="minorHAnsi" w:cstheme="minorHAnsi"/>
          <w:color w:val="211D1E"/>
          <w:lang w:val="it-IT"/>
        </w:rPr>
        <w:t xml:space="preserve">u masovne grobnice na skrovitim mjestima.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it-IT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hr-BA"/>
        </w:rPr>
      </w:pPr>
      <w:r w:rsidRPr="00C22BE1">
        <w:rPr>
          <w:rFonts w:asciiTheme="minorHAnsi" w:hAnsiTheme="minorHAnsi" w:cstheme="minorHAnsi"/>
          <w:color w:val="211D1E"/>
          <w:lang w:val="it-IT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bezo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it-IT"/>
        </w:rPr>
        <w:t>noj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“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operaciji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  <w:lang w:val="it-IT"/>
        </w:rPr>
        <w:t>ubijanja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”, </w:t>
      </w:r>
      <w:r w:rsidRPr="00C22BE1">
        <w:rPr>
          <w:rFonts w:asciiTheme="minorHAnsi" w:hAnsiTheme="minorHAnsi" w:cstheme="minorHAnsi"/>
          <w:color w:val="211D1E"/>
          <w:lang w:val="it-IT"/>
        </w:rPr>
        <w:t>uglavnom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za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č</w:t>
      </w:r>
      <w:r w:rsidRPr="00C22BE1">
        <w:rPr>
          <w:rFonts w:asciiTheme="minorHAnsi" w:hAnsiTheme="minorHAnsi" w:cstheme="minorHAnsi"/>
          <w:color w:val="211D1E"/>
          <w:lang w:val="it-IT"/>
        </w:rPr>
        <w:t>etiri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dana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  <w:lang w:val="it-IT"/>
        </w:rPr>
        <w:t>s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namjerom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prema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ta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it-IT"/>
        </w:rPr>
        <w:t>no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utvr</w:t>
      </w:r>
      <w:r w:rsidRPr="00C22BE1">
        <w:rPr>
          <w:rFonts w:asciiTheme="minorHAnsi" w:hAnsiTheme="minorHAnsi" w:cstheme="minorHAnsi"/>
          <w:color w:val="211D1E"/>
          <w:lang w:val="hr-BA"/>
        </w:rPr>
        <w:t>đ</w:t>
      </w:r>
      <w:r w:rsidRPr="00C22BE1">
        <w:rPr>
          <w:rFonts w:asciiTheme="minorHAnsi" w:hAnsiTheme="minorHAnsi" w:cstheme="minorHAnsi"/>
          <w:color w:val="211D1E"/>
          <w:lang w:val="it-IT"/>
        </w:rPr>
        <w:t>enom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obrascu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  <w:lang w:val="it-IT"/>
        </w:rPr>
        <w:t>na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stravi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it-IT"/>
        </w:rPr>
        <w:t>an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na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it-IT"/>
        </w:rPr>
        <w:t>in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  <w:lang w:val="it-IT"/>
        </w:rPr>
        <w:t>likvidirano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preko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8.000 </w:t>
      </w:r>
      <w:r w:rsidRPr="00C22BE1">
        <w:rPr>
          <w:rFonts w:asciiTheme="minorHAnsi" w:hAnsiTheme="minorHAnsi" w:cstheme="minorHAnsi"/>
          <w:color w:val="211D1E"/>
          <w:lang w:val="it-IT"/>
        </w:rPr>
        <w:t>zarobljenih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zato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it-IT"/>
        </w:rPr>
        <w:t>enih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Bo</w:t>
      </w:r>
      <w:r w:rsidRPr="00C22BE1">
        <w:rPr>
          <w:rFonts w:asciiTheme="minorHAnsi" w:hAnsiTheme="minorHAnsi" w:cstheme="minorHAnsi"/>
          <w:color w:val="211D1E"/>
          <w:lang w:val="hr-BA"/>
        </w:rPr>
        <w:t>š</w:t>
      </w:r>
      <w:r w:rsidRPr="00C22BE1">
        <w:rPr>
          <w:rFonts w:asciiTheme="minorHAnsi" w:hAnsiTheme="minorHAnsi" w:cstheme="minorHAnsi"/>
          <w:color w:val="211D1E"/>
          <w:lang w:val="it-IT"/>
        </w:rPr>
        <w:t>njaka</w:t>
      </w:r>
      <w:r w:rsidRPr="00C22BE1">
        <w:rPr>
          <w:rFonts w:asciiTheme="minorHAnsi" w:hAnsiTheme="minorHAnsi" w:cstheme="minorHAnsi"/>
          <w:color w:val="211D1E"/>
          <w:lang w:val="hr-BA"/>
        </w:rPr>
        <w:t>, š</w:t>
      </w:r>
      <w:r w:rsidRPr="00C22BE1">
        <w:rPr>
          <w:rFonts w:asciiTheme="minorHAnsi" w:hAnsiTheme="minorHAnsi" w:cstheme="minorHAnsi"/>
          <w:color w:val="211D1E"/>
          <w:lang w:val="it-IT"/>
        </w:rPr>
        <w:t>to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motivirano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njihovom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nacionalnom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  <w:lang w:val="it-IT"/>
        </w:rPr>
        <w:t>etni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it-IT"/>
        </w:rPr>
        <w:t>kom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vjerskom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pripadnosti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zauzimanjem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njihovog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ž</w:t>
      </w:r>
      <w:r w:rsidRPr="00C22BE1">
        <w:rPr>
          <w:rFonts w:asciiTheme="minorHAnsi" w:hAnsiTheme="minorHAnsi" w:cstheme="minorHAnsi"/>
          <w:color w:val="211D1E"/>
          <w:lang w:val="it-IT"/>
        </w:rPr>
        <w:t>ivotnog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prostora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  <w:lang w:val="it-IT"/>
        </w:rPr>
        <w:t>koji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srpskim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velikodr</w:t>
      </w:r>
      <w:r w:rsidRPr="00C22BE1">
        <w:rPr>
          <w:rFonts w:asciiTheme="minorHAnsi" w:hAnsiTheme="minorHAnsi" w:cstheme="minorHAnsi"/>
          <w:color w:val="211D1E"/>
          <w:lang w:val="hr-BA"/>
        </w:rPr>
        <w:t>ž</w:t>
      </w:r>
      <w:r w:rsidRPr="00C22BE1">
        <w:rPr>
          <w:rFonts w:asciiTheme="minorHAnsi" w:hAnsiTheme="minorHAnsi" w:cstheme="minorHAnsi"/>
          <w:color w:val="211D1E"/>
          <w:lang w:val="it-IT"/>
        </w:rPr>
        <w:t>avnim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planovima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ozna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  <w:lang w:val="it-IT"/>
        </w:rPr>
        <w:t>en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od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strate</w:t>
      </w:r>
      <w:r w:rsidRPr="00C22BE1">
        <w:rPr>
          <w:rFonts w:asciiTheme="minorHAnsi" w:hAnsiTheme="minorHAnsi" w:cstheme="minorHAnsi"/>
          <w:color w:val="211D1E"/>
          <w:lang w:val="hr-BA"/>
        </w:rPr>
        <w:t>š</w:t>
      </w:r>
      <w:r w:rsidRPr="00C22BE1">
        <w:rPr>
          <w:rFonts w:asciiTheme="minorHAnsi" w:hAnsiTheme="minorHAnsi" w:cstheme="minorHAnsi"/>
          <w:color w:val="211D1E"/>
          <w:lang w:val="it-IT"/>
        </w:rPr>
        <w:t>ke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lang w:val="it-IT"/>
        </w:rPr>
        <w:t>va</w:t>
      </w:r>
      <w:r w:rsidRPr="00C22BE1">
        <w:rPr>
          <w:rFonts w:asciiTheme="minorHAnsi" w:hAnsiTheme="minorHAnsi" w:cstheme="minorHAnsi"/>
          <w:color w:val="211D1E"/>
          <w:lang w:val="hr-BA"/>
        </w:rPr>
        <w:t>ž</w:t>
      </w:r>
      <w:r w:rsidRPr="00C22BE1">
        <w:rPr>
          <w:rFonts w:asciiTheme="minorHAnsi" w:hAnsiTheme="minorHAnsi" w:cstheme="minorHAnsi"/>
          <w:color w:val="211D1E"/>
          <w:lang w:val="it-IT"/>
        </w:rPr>
        <w:t>nosti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. </w:t>
      </w:r>
      <w:proofErr w:type="gramStart"/>
      <w:r w:rsidRPr="00C22BE1">
        <w:rPr>
          <w:rFonts w:asciiTheme="minorHAnsi" w:hAnsiTheme="minorHAnsi" w:cstheme="minorHAnsi"/>
          <w:color w:val="211D1E"/>
        </w:rPr>
        <w:t>Tri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generacije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mu</w:t>
      </w:r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karaca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istrijebljene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.</w:t>
      </w:r>
      <w:proofErr w:type="gram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gramStart"/>
      <w:r w:rsidRPr="00C22BE1">
        <w:rPr>
          <w:rFonts w:asciiTheme="minorHAnsi" w:hAnsiTheme="minorHAnsi" w:cstheme="minorHAnsi"/>
          <w:color w:val="211D1E"/>
        </w:rPr>
        <w:t>To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najve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ć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pojedina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kratkom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vremenu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izvr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eni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masakr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totalni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progon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ljudi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Evropi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nakon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Drugog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svjetskog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rata</w:t>
      </w:r>
      <w:r w:rsidRPr="00C22BE1">
        <w:rPr>
          <w:rFonts w:asciiTheme="minorHAnsi" w:hAnsiTheme="minorHAnsi" w:cstheme="minorHAnsi"/>
          <w:color w:val="211D1E"/>
          <w:lang w:val="hr-BA"/>
        </w:rPr>
        <w:t>.</w:t>
      </w:r>
      <w:proofErr w:type="gram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Ta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</w:rPr>
        <w:t>no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pedeset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godina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proofErr w:type="gramStart"/>
      <w:r w:rsidRPr="00C22BE1">
        <w:rPr>
          <w:rFonts w:asciiTheme="minorHAnsi" w:hAnsiTheme="minorHAnsi" w:cstheme="minorHAnsi"/>
          <w:color w:val="211D1E"/>
        </w:rPr>
        <w:t>od</w:t>
      </w:r>
      <w:proofErr w:type="spellEnd"/>
      <w:proofErr w:type="gram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zavr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etka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nacisti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kog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holokausta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Evropi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se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pred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o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ima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svijeta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ponovio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zlo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r w:rsidRPr="00C22BE1">
        <w:rPr>
          <w:rFonts w:asciiTheme="minorHAnsi" w:hAnsiTheme="minorHAnsi" w:cstheme="minorHAnsi"/>
          <w:color w:val="211D1E"/>
        </w:rPr>
        <w:t>in</w:t>
      </w:r>
      <w:r w:rsidRPr="00C22BE1">
        <w:rPr>
          <w:rFonts w:asciiTheme="minorHAnsi" w:hAnsiTheme="minorHAnsi" w:cstheme="minorHAnsi"/>
          <w:color w:val="211D1E"/>
          <w:lang w:val="hr-BA"/>
        </w:rPr>
        <w:t>, č</w:t>
      </w:r>
      <w:proofErr w:type="spellStart"/>
      <w:r w:rsidRPr="00C22BE1">
        <w:rPr>
          <w:rFonts w:asciiTheme="minorHAnsi" w:hAnsiTheme="minorHAnsi" w:cstheme="minorHAnsi"/>
          <w:color w:val="211D1E"/>
        </w:rPr>
        <w:t>ija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surovost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ali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nedostatak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reakcije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, “</w:t>
      </w:r>
      <w:proofErr w:type="spellStart"/>
      <w:r w:rsidRPr="00C22BE1">
        <w:rPr>
          <w:rFonts w:asciiTheme="minorHAnsi" w:hAnsiTheme="minorHAnsi" w:cstheme="minorHAnsi"/>
          <w:color w:val="211D1E"/>
        </w:rPr>
        <w:t>sinonim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velikog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neuspjeha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me</w:t>
      </w:r>
      <w:r w:rsidRPr="00C22BE1">
        <w:rPr>
          <w:rFonts w:asciiTheme="minorHAnsi" w:hAnsiTheme="minorHAnsi" w:cstheme="minorHAnsi"/>
          <w:color w:val="211D1E"/>
          <w:lang w:val="hr-BA"/>
        </w:rPr>
        <w:t>đ</w:t>
      </w:r>
      <w:proofErr w:type="spellStart"/>
      <w:r w:rsidRPr="00C22BE1">
        <w:rPr>
          <w:rFonts w:asciiTheme="minorHAnsi" w:hAnsiTheme="minorHAnsi" w:cstheme="minorHAnsi"/>
          <w:color w:val="211D1E"/>
        </w:rPr>
        <w:t>unarodne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zajednice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”.</w:t>
      </w:r>
      <w:r w:rsidRPr="00C22BE1">
        <w:rPr>
          <w:rFonts w:asciiTheme="minorHAnsi" w:hAnsiTheme="minorHAnsi" w:cstheme="minorHAnsi"/>
          <w:color w:val="211D1E"/>
          <w:position w:val="8"/>
          <w:vertAlign w:val="superscript"/>
          <w:lang w:val="hr-BA"/>
        </w:rPr>
        <w:t xml:space="preserve">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bCs/>
          <w:color w:val="211D1E"/>
          <w:lang w:val="hr-BA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hr-BA"/>
        </w:rPr>
      </w:pPr>
      <w:proofErr w:type="spellStart"/>
      <w:r w:rsidRPr="00C22BE1">
        <w:rPr>
          <w:rFonts w:asciiTheme="minorHAnsi" w:hAnsiTheme="minorHAnsi" w:cstheme="minorHAnsi"/>
          <w:bCs/>
          <w:color w:val="211D1E"/>
        </w:rPr>
        <w:t>Zauzimanje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Srebrenice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deportacija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civila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iz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Poto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ara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operacija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zarobljavanja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zato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enja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likvidacije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</w:rPr>
        <w:t>Bo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njaka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genocidni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akti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unaprijed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isplanirani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proofErr w:type="gramStart"/>
      <w:r w:rsidRPr="00C22BE1">
        <w:rPr>
          <w:rFonts w:asciiTheme="minorHAnsi" w:hAnsiTheme="minorHAnsi" w:cstheme="minorHAnsi"/>
          <w:color w:val="211D1E"/>
        </w:rPr>
        <w:t>dobro</w:t>
      </w:r>
      <w:proofErr w:type="spellEnd"/>
      <w:proofErr w:type="gram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osmi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ljeni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efikasno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organizirani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š</w:t>
      </w:r>
      <w:proofErr w:type="spellStart"/>
      <w:r w:rsidRPr="00C22BE1">
        <w:rPr>
          <w:rFonts w:asciiTheme="minorHAnsi" w:hAnsiTheme="minorHAnsi" w:cstheme="minorHAnsi"/>
          <w:color w:val="211D1E"/>
        </w:rPr>
        <w:t>irokog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obima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nare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đ</w:t>
      </w:r>
      <w:proofErr w:type="spellStart"/>
      <w:r w:rsidRPr="00C22BE1">
        <w:rPr>
          <w:rFonts w:asciiTheme="minorHAnsi" w:hAnsiTheme="minorHAnsi" w:cstheme="minorHAnsi"/>
          <w:color w:val="211D1E"/>
        </w:rPr>
        <w:t>eni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s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nadle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ž</w:t>
      </w:r>
      <w:proofErr w:type="spellStart"/>
      <w:r w:rsidRPr="00C22BE1">
        <w:rPr>
          <w:rFonts w:asciiTheme="minorHAnsi" w:hAnsiTheme="minorHAnsi" w:cstheme="minorHAnsi"/>
          <w:color w:val="211D1E"/>
        </w:rPr>
        <w:t>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politi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kih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vojnih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mjesta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te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izvr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eni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planski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sistematski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organizirano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. </w:t>
      </w: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hr-BA"/>
        </w:rPr>
      </w:pPr>
    </w:p>
    <w:p w:rsidR="0077218C" w:rsidRPr="00C22BE1" w:rsidRDefault="0077218C" w:rsidP="0077218C">
      <w:pPr>
        <w:pStyle w:val="CM3"/>
        <w:spacing w:line="360" w:lineRule="auto"/>
        <w:rPr>
          <w:rFonts w:asciiTheme="minorHAnsi" w:hAnsiTheme="minorHAnsi" w:cstheme="minorHAnsi"/>
          <w:color w:val="211D1E"/>
          <w:lang w:val="hr-BA"/>
        </w:rPr>
      </w:pPr>
      <w:proofErr w:type="spellStart"/>
      <w:r w:rsidRPr="00C22BE1">
        <w:rPr>
          <w:rFonts w:asciiTheme="minorHAnsi" w:hAnsiTheme="minorHAnsi" w:cstheme="minorHAnsi"/>
          <w:color w:val="211D1E"/>
        </w:rPr>
        <w:t>Broj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ubijenih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kratko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ć</w:t>
      </w:r>
      <w:r w:rsidRPr="00C22BE1">
        <w:rPr>
          <w:rFonts w:asciiTheme="minorHAnsi" w:hAnsiTheme="minorHAnsi" w:cstheme="minorHAnsi"/>
          <w:color w:val="211D1E"/>
        </w:rPr>
        <w:t>a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vremena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likvidacija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brzo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formiranje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masovnih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grobnica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brzina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zakopavanja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masovne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grobnice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dislociranje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posmrtnih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ostataka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iz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primarnih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sekundarne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tercijarne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masovne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grobnice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ukazuju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proofErr w:type="gramStart"/>
      <w:r w:rsidRPr="00C22BE1">
        <w:rPr>
          <w:rFonts w:asciiTheme="minorHAnsi" w:hAnsiTheme="minorHAnsi" w:cstheme="minorHAnsi"/>
          <w:color w:val="211D1E"/>
        </w:rPr>
        <w:t>na</w:t>
      </w:r>
      <w:proofErr w:type="spellEnd"/>
      <w:proofErr w:type="gram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to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da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planiranju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pripremi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izvr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enju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prikrivanju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genocida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estvovao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punom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kapacitetu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politi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ki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upravni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vojni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bCs/>
          <w:color w:val="211D1E"/>
        </w:rPr>
        <w:t>i</w:t>
      </w:r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policijski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bCs/>
          <w:color w:val="211D1E"/>
        </w:rPr>
        <w:t>potencijal</w:t>
      </w:r>
      <w:proofErr w:type="spellEnd"/>
      <w:r w:rsidRPr="00C22BE1">
        <w:rPr>
          <w:rFonts w:asciiTheme="minorHAnsi" w:hAnsiTheme="minorHAnsi" w:cstheme="minorHAnsi"/>
          <w:bCs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srpskih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snaga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kao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veliki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broj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discipliniranih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izvr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ilaca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. </w:t>
      </w:r>
      <w:proofErr w:type="spellStart"/>
      <w:r w:rsidRPr="00C22BE1">
        <w:rPr>
          <w:rFonts w:asciiTheme="minorHAnsi" w:hAnsiTheme="minorHAnsi" w:cstheme="minorHAnsi"/>
          <w:color w:val="211D1E"/>
        </w:rPr>
        <w:t>Tako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je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prema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istra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ž</w:t>
      </w:r>
      <w:proofErr w:type="spellStart"/>
      <w:r w:rsidRPr="00C22BE1">
        <w:rPr>
          <w:rFonts w:asciiTheme="minorHAnsi" w:hAnsiTheme="minorHAnsi" w:cstheme="minorHAnsi"/>
          <w:color w:val="211D1E"/>
        </w:rPr>
        <w:t>ivanjima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Vlade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Republike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Srpske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genocidu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proofErr w:type="gramStart"/>
      <w:r w:rsidRPr="00C22BE1">
        <w:rPr>
          <w:rFonts w:asciiTheme="minorHAnsi" w:hAnsiTheme="minorHAnsi" w:cstheme="minorHAnsi"/>
          <w:color w:val="211D1E"/>
        </w:rPr>
        <w:t>nad</w:t>
      </w:r>
      <w:proofErr w:type="spellEnd"/>
      <w:proofErr w:type="gram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Bo</w:t>
      </w:r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njacima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Bosne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Hercegovine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oko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sigurne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zone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Ujedinjenih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nacija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Sreprenica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jula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1995,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estvovalo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(</w:t>
      </w:r>
      <w:proofErr w:type="spellStart"/>
      <w:r w:rsidRPr="00C22BE1">
        <w:rPr>
          <w:rFonts w:asciiTheme="minorHAnsi" w:hAnsiTheme="minorHAnsi" w:cstheme="minorHAnsi"/>
          <w:color w:val="211D1E"/>
        </w:rPr>
        <w:t>po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raznim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osnovama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razli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ite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na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ine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) </w:t>
      </w:r>
      <w:proofErr w:type="spellStart"/>
      <w:r w:rsidRPr="00C22BE1">
        <w:rPr>
          <w:rFonts w:asciiTheme="minorHAnsi" w:hAnsiTheme="minorHAnsi" w:cstheme="minorHAnsi"/>
          <w:color w:val="211D1E"/>
        </w:rPr>
        <w:t>preko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25.000 </w:t>
      </w:r>
      <w:proofErr w:type="spellStart"/>
      <w:r w:rsidRPr="00C22BE1">
        <w:rPr>
          <w:rFonts w:asciiTheme="minorHAnsi" w:hAnsiTheme="minorHAnsi" w:cstheme="minorHAnsi"/>
          <w:color w:val="211D1E"/>
        </w:rPr>
        <w:t>ljudi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. </w:t>
      </w:r>
      <w:proofErr w:type="spellStart"/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spacing w:val="-4"/>
        </w:rPr>
        <w:t>deolo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ki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politi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ki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4"/>
        </w:rPr>
        <w:t>i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vojni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nosilac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genocida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bila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4"/>
        </w:rPr>
        <w:t>je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4"/>
        </w:rPr>
        <w:t>dr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>ž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ava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Savezna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Republika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Jugoslavija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(</w:t>
      </w:r>
      <w:r w:rsidRPr="00C22BE1">
        <w:rPr>
          <w:rFonts w:asciiTheme="minorHAnsi" w:hAnsiTheme="minorHAnsi" w:cstheme="minorHAnsi"/>
          <w:color w:val="211D1E"/>
          <w:spacing w:val="-4"/>
        </w:rPr>
        <w:t>Srbija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4"/>
        </w:rPr>
        <w:t>i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Crna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4"/>
        </w:rPr>
        <w:t>Gora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),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odnosno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velikosrpski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4"/>
        </w:rPr>
        <w:t>re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>ž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im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Slobodana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  <w:spacing w:val="-4"/>
        </w:rPr>
        <w:t>Milo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evi</w:t>
      </w:r>
      <w:proofErr w:type="spellEnd"/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>ć</w:t>
      </w:r>
      <w:r w:rsidRPr="00C22BE1">
        <w:rPr>
          <w:rFonts w:asciiTheme="minorHAnsi" w:hAnsiTheme="minorHAnsi" w:cstheme="minorHAnsi"/>
          <w:color w:val="211D1E"/>
          <w:spacing w:val="-4"/>
        </w:rPr>
        <w:t>a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, </w:t>
      </w:r>
      <w:r w:rsidRPr="00C22BE1">
        <w:rPr>
          <w:rFonts w:asciiTheme="minorHAnsi" w:hAnsiTheme="minorHAnsi" w:cstheme="minorHAnsi"/>
          <w:color w:val="211D1E"/>
          <w:spacing w:val="-4"/>
        </w:rPr>
        <w:t>a</w:t>
      </w:r>
      <w:r w:rsidRPr="00C22BE1">
        <w:rPr>
          <w:rFonts w:asciiTheme="minorHAnsi" w:hAnsiTheme="minorHAnsi" w:cstheme="minorHAnsi"/>
          <w:color w:val="211D1E"/>
          <w:spacing w:val="-4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  <w:spacing w:val="-4"/>
        </w:rPr>
        <w:t>glavni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izvr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ioci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Vojska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(</w:t>
      </w:r>
      <w:proofErr w:type="spellStart"/>
      <w:r w:rsidRPr="00C22BE1">
        <w:rPr>
          <w:rFonts w:asciiTheme="minorHAnsi" w:hAnsiTheme="minorHAnsi" w:cstheme="minorHAnsi"/>
          <w:color w:val="211D1E"/>
        </w:rPr>
        <w:t>Savezne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Republike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) </w:t>
      </w:r>
      <w:proofErr w:type="spellStart"/>
      <w:r w:rsidRPr="00C22BE1">
        <w:rPr>
          <w:rFonts w:asciiTheme="minorHAnsi" w:hAnsiTheme="minorHAnsi" w:cstheme="minorHAnsi"/>
          <w:color w:val="211D1E"/>
        </w:rPr>
        <w:t>Jugoslavije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Ministarstvo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unutra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njih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poslova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Republike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Srbije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, </w:t>
      </w:r>
      <w:proofErr w:type="spellStart"/>
      <w:r w:rsidRPr="00C22BE1">
        <w:rPr>
          <w:rFonts w:asciiTheme="minorHAnsi" w:hAnsiTheme="minorHAnsi" w:cstheme="minorHAnsi"/>
          <w:color w:val="211D1E"/>
        </w:rPr>
        <w:t>kolaboracionisti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formacije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velikosrpskog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agresora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u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Republici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Bosni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Hercegovini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(“</w:t>
      </w:r>
      <w:proofErr w:type="spellStart"/>
      <w:r w:rsidRPr="00C22BE1">
        <w:rPr>
          <w:rFonts w:asciiTheme="minorHAnsi" w:hAnsiTheme="minorHAnsi" w:cstheme="minorHAnsi"/>
          <w:color w:val="211D1E"/>
        </w:rPr>
        <w:t>Vojska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Republike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Srpske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”, “</w:t>
      </w:r>
      <w:proofErr w:type="spellStart"/>
      <w:r w:rsidRPr="00C22BE1">
        <w:rPr>
          <w:rFonts w:asciiTheme="minorHAnsi" w:hAnsiTheme="minorHAnsi" w:cstheme="minorHAnsi"/>
          <w:color w:val="211D1E"/>
        </w:rPr>
        <w:t>Ministarstvo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unutra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proofErr w:type="spellStart"/>
      <w:r w:rsidRPr="00C22BE1">
        <w:rPr>
          <w:rFonts w:asciiTheme="minorHAnsi" w:hAnsiTheme="minorHAnsi" w:cstheme="minorHAnsi"/>
          <w:color w:val="211D1E"/>
        </w:rPr>
        <w:t>njih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poslova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Republike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Srpske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”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drugi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organi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izvr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š</w:t>
      </w:r>
      <w:r w:rsidRPr="00C22BE1">
        <w:rPr>
          <w:rFonts w:asciiTheme="minorHAnsi" w:hAnsiTheme="minorHAnsi" w:cstheme="minorHAnsi"/>
          <w:color w:val="211D1E"/>
        </w:rPr>
        <w:t>ne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vlasti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uprave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paradr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ž</w:t>
      </w:r>
      <w:proofErr w:type="spellStart"/>
      <w:r w:rsidRPr="00C22BE1">
        <w:rPr>
          <w:rFonts w:asciiTheme="minorHAnsi" w:hAnsiTheme="minorHAnsi" w:cstheme="minorHAnsi"/>
          <w:color w:val="211D1E"/>
        </w:rPr>
        <w:t>avne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tvorevine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Republike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Srpske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), </w:t>
      </w:r>
      <w:proofErr w:type="spellStart"/>
      <w:r w:rsidRPr="00C22BE1">
        <w:rPr>
          <w:rFonts w:asciiTheme="minorHAnsi" w:hAnsiTheme="minorHAnsi" w:cstheme="minorHAnsi"/>
          <w:color w:val="211D1E"/>
        </w:rPr>
        <w:t>pla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ć</w:t>
      </w:r>
      <w:proofErr w:type="spellStart"/>
      <w:r w:rsidRPr="00C22BE1">
        <w:rPr>
          <w:rFonts w:asciiTheme="minorHAnsi" w:hAnsiTheme="minorHAnsi" w:cstheme="minorHAnsi"/>
          <w:color w:val="211D1E"/>
        </w:rPr>
        <w:t>enici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iz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proofErr w:type="spellStart"/>
      <w:r w:rsidRPr="00C22BE1">
        <w:rPr>
          <w:rFonts w:asciiTheme="minorHAnsi" w:hAnsiTheme="minorHAnsi" w:cstheme="minorHAnsi"/>
          <w:color w:val="211D1E"/>
        </w:rPr>
        <w:t>Gr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>č</w:t>
      </w:r>
      <w:proofErr w:type="spellStart"/>
      <w:r w:rsidRPr="00C22BE1">
        <w:rPr>
          <w:rFonts w:asciiTheme="minorHAnsi" w:hAnsiTheme="minorHAnsi" w:cstheme="minorHAnsi"/>
          <w:color w:val="211D1E"/>
        </w:rPr>
        <w:t>ke</w:t>
      </w:r>
      <w:proofErr w:type="spellEnd"/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i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 </w:t>
      </w:r>
      <w:r w:rsidRPr="00C22BE1">
        <w:rPr>
          <w:rFonts w:asciiTheme="minorHAnsi" w:hAnsiTheme="minorHAnsi" w:cstheme="minorHAnsi"/>
          <w:color w:val="211D1E"/>
        </w:rPr>
        <w:t>dr</w:t>
      </w:r>
      <w:r w:rsidRPr="00C22BE1">
        <w:rPr>
          <w:rFonts w:asciiTheme="minorHAnsi" w:hAnsiTheme="minorHAnsi" w:cstheme="minorHAnsi"/>
          <w:color w:val="211D1E"/>
          <w:lang w:val="hr-BA"/>
        </w:rPr>
        <w:t xml:space="preserve">. </w:t>
      </w:r>
    </w:p>
    <w:p w:rsidR="0077218C" w:rsidRPr="00C22BE1" w:rsidRDefault="0077218C" w:rsidP="0077218C">
      <w:pPr>
        <w:pStyle w:val="CM8"/>
        <w:spacing w:after="0" w:line="360" w:lineRule="auto"/>
        <w:rPr>
          <w:rFonts w:asciiTheme="minorHAnsi" w:hAnsiTheme="minorHAnsi" w:cstheme="minorHAnsi"/>
          <w:lang w:val="it-IT"/>
        </w:rPr>
      </w:pPr>
    </w:p>
    <w:p w:rsidR="0077218C" w:rsidRPr="00C22BE1" w:rsidRDefault="0077218C" w:rsidP="0077218C">
      <w:pPr>
        <w:pStyle w:val="CM8"/>
        <w:spacing w:after="0" w:line="360" w:lineRule="auto"/>
        <w:rPr>
          <w:rFonts w:asciiTheme="minorHAnsi" w:hAnsiTheme="minorHAnsi" w:cstheme="minorHAnsi"/>
          <w:lang w:val="it-IT"/>
        </w:rPr>
      </w:pPr>
      <w:r w:rsidRPr="00C22BE1">
        <w:rPr>
          <w:rFonts w:asciiTheme="minorHAnsi" w:hAnsiTheme="minorHAnsi" w:cstheme="minorHAnsi"/>
          <w:lang w:val="it-IT"/>
        </w:rPr>
        <w:t>U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i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oko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Srebrenice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jula</w:t>
      </w:r>
      <w:r w:rsidRPr="00C22BE1">
        <w:rPr>
          <w:rFonts w:asciiTheme="minorHAnsi" w:hAnsiTheme="minorHAnsi" w:cstheme="minorHAnsi"/>
          <w:lang w:val="hr-BA"/>
        </w:rPr>
        <w:t xml:space="preserve"> 1995. </w:t>
      </w:r>
      <w:r w:rsidRPr="00C22BE1">
        <w:rPr>
          <w:rFonts w:asciiTheme="minorHAnsi" w:hAnsiTheme="minorHAnsi" w:cstheme="minorHAnsi"/>
          <w:lang w:val="it-IT"/>
        </w:rPr>
        <w:t>po</w:t>
      </w:r>
      <w:r w:rsidRPr="00C22BE1">
        <w:rPr>
          <w:rFonts w:asciiTheme="minorHAnsi" w:hAnsiTheme="minorHAnsi" w:cstheme="minorHAnsi"/>
          <w:lang w:val="hr-BA"/>
        </w:rPr>
        <w:t>č</w:t>
      </w:r>
      <w:r w:rsidRPr="00C22BE1">
        <w:rPr>
          <w:rFonts w:asciiTheme="minorHAnsi" w:hAnsiTheme="minorHAnsi" w:cstheme="minorHAnsi"/>
          <w:lang w:val="it-IT"/>
        </w:rPr>
        <w:t>injen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je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masovni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zlo</w:t>
      </w:r>
      <w:r w:rsidRPr="00C22BE1">
        <w:rPr>
          <w:rFonts w:asciiTheme="minorHAnsi" w:hAnsiTheme="minorHAnsi" w:cstheme="minorHAnsi"/>
          <w:lang w:val="hr-BA"/>
        </w:rPr>
        <w:t>č</w:t>
      </w:r>
      <w:r w:rsidRPr="00C22BE1">
        <w:rPr>
          <w:rFonts w:asciiTheme="minorHAnsi" w:hAnsiTheme="minorHAnsi" w:cstheme="minorHAnsi"/>
          <w:lang w:val="it-IT"/>
        </w:rPr>
        <w:t>in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nad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Bo</w:t>
      </w:r>
      <w:r w:rsidRPr="00C22BE1">
        <w:rPr>
          <w:rFonts w:asciiTheme="minorHAnsi" w:hAnsiTheme="minorHAnsi" w:cstheme="minorHAnsi"/>
          <w:lang w:val="hr-BA"/>
        </w:rPr>
        <w:t>š</w:t>
      </w:r>
      <w:r w:rsidRPr="00C22BE1">
        <w:rPr>
          <w:rFonts w:asciiTheme="minorHAnsi" w:hAnsiTheme="minorHAnsi" w:cstheme="minorHAnsi"/>
          <w:lang w:val="it-IT"/>
        </w:rPr>
        <w:t>njacima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islamske</w:t>
      </w:r>
      <w:r w:rsidRPr="00C22BE1">
        <w:rPr>
          <w:rFonts w:asciiTheme="minorHAnsi" w:hAnsiTheme="minorHAnsi" w:cstheme="minorHAnsi"/>
          <w:lang w:val="hr-BA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>vjere</w:t>
      </w:r>
      <w:r w:rsidRPr="00C22BE1">
        <w:rPr>
          <w:rFonts w:asciiTheme="minorHAnsi" w:hAnsiTheme="minorHAnsi" w:cstheme="minorHAnsi"/>
          <w:lang w:val="hr-BA"/>
        </w:rPr>
        <w:t xml:space="preserve">. </w:t>
      </w:r>
      <w:r w:rsidRPr="00C22BE1">
        <w:rPr>
          <w:rFonts w:asciiTheme="minorHAnsi" w:hAnsiTheme="minorHAnsi" w:cstheme="minorHAnsi"/>
          <w:lang w:val="it-IT"/>
        </w:rPr>
        <w:t>Taj zločin je djelo genocida nad muslimanima. Širina područja izvršenja zločina, brzina likvidacije više hiljada ljudi, veličina područja na kojem su zakopavani leševi i višestruko izmještanje posmrtnih ostataka ubijenih, te broj ljudi koji je nužno učestvovao u izvršenju i prikrivanju zločina, apsolutno pokazuje da su zločini bili poznati velikom broju ljudi i da su uporno sakrivani. Neprecizno određeni mandat Ujedinjenih nacija je jedan od elemenata dokaza nedostatka političke volje da se u zaštiti (životâ) civilnog stanovništva i sprečavanju najgoreg zločina postupi odlučno</w:t>
      </w:r>
      <w:r w:rsidRPr="00C22BE1">
        <w:rPr>
          <w:rFonts w:asciiTheme="minorHAnsi" w:hAnsiTheme="minorHAnsi" w:cstheme="minorHAnsi"/>
          <w:position w:val="8"/>
          <w:vertAlign w:val="superscript"/>
          <w:lang w:val="it-IT"/>
        </w:rPr>
        <w:t xml:space="preserve"> </w:t>
      </w:r>
      <w:r w:rsidRPr="00C22BE1">
        <w:rPr>
          <w:rFonts w:asciiTheme="minorHAnsi" w:hAnsiTheme="minorHAnsi" w:cstheme="minorHAnsi"/>
          <w:lang w:val="it-IT"/>
        </w:rPr>
        <w:t xml:space="preserve">i onako kako to nalažu Povelja Ujedinjenih nacija i duh i korpus međunarodnog prava. </w:t>
      </w:r>
    </w:p>
    <w:p w:rsidR="0077218C" w:rsidRPr="00C22BE1" w:rsidRDefault="00C22BE1" w:rsidP="0077218C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color w:val="000000"/>
          <w:sz w:val="24"/>
          <w:szCs w:val="24"/>
          <w:lang w:val="it-IT"/>
        </w:rPr>
      </w:pPr>
      <w:r w:rsidRPr="00C22BE1">
        <w:rPr>
          <w:rFonts w:asciiTheme="minorHAnsi" w:eastAsia="BookmanOldStyle" w:hAnsiTheme="minorHAnsi" w:cstheme="minorHAnsi"/>
          <w:color w:val="000000"/>
          <w:sz w:val="24"/>
          <w:szCs w:val="24"/>
          <w:lang w:val="it-IT"/>
        </w:rPr>
        <w:t>--------------------------------------------------</w:t>
      </w:r>
    </w:p>
    <w:p w:rsidR="00C22BE1" w:rsidRPr="00C22BE1" w:rsidRDefault="00C22BE1" w:rsidP="00C22BE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22BE1">
        <w:rPr>
          <w:rFonts w:asciiTheme="minorHAnsi" w:hAnsiTheme="minorHAnsi" w:cstheme="minorHAnsi"/>
          <w:b/>
          <w:bCs/>
          <w:sz w:val="24"/>
          <w:szCs w:val="24"/>
        </w:rPr>
        <w:t>Izvori</w:t>
      </w:r>
      <w:proofErr w:type="spellEnd"/>
      <w:r w:rsidRPr="00C22B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22BE1">
        <w:rPr>
          <w:rFonts w:asciiTheme="minorHAnsi" w:hAnsiTheme="minorHAnsi" w:cstheme="minorHAnsi"/>
          <w:b/>
          <w:bCs/>
          <w:sz w:val="24"/>
          <w:szCs w:val="24"/>
        </w:rPr>
        <w:t>naučnih</w:t>
      </w:r>
      <w:proofErr w:type="spellEnd"/>
      <w:r w:rsidRPr="00C22B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22BE1">
        <w:rPr>
          <w:rFonts w:asciiTheme="minorHAnsi" w:hAnsiTheme="minorHAnsi" w:cstheme="minorHAnsi"/>
          <w:b/>
          <w:bCs/>
          <w:sz w:val="24"/>
          <w:szCs w:val="24"/>
        </w:rPr>
        <w:t>saznanja</w:t>
      </w:r>
      <w:proofErr w:type="spellEnd"/>
      <w:r w:rsidRPr="00C22BE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22BE1" w:rsidRPr="00C22BE1" w:rsidRDefault="00C22BE1" w:rsidP="00C22BE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22BE1" w:rsidRPr="00C22BE1" w:rsidRDefault="00C22BE1" w:rsidP="00C22BE1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C22BE1">
        <w:rPr>
          <w:rFonts w:asciiTheme="minorHAnsi" w:hAnsiTheme="minorHAnsi" w:cstheme="minorHAnsi"/>
          <w:sz w:val="24"/>
          <w:szCs w:val="24"/>
        </w:rPr>
        <w:t xml:space="preserve"> Institut za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istraživanje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zločina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protiv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čovječnosti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međunarodnog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prava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Univerziteta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Sarajevu</w:t>
      </w:r>
      <w:proofErr w:type="spellEnd"/>
    </w:p>
    <w:p w:rsidR="00C22BE1" w:rsidRPr="00C22BE1" w:rsidRDefault="00C22BE1" w:rsidP="00C22BE1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C22BE1">
        <w:rPr>
          <w:rFonts w:asciiTheme="minorHAnsi" w:hAnsiTheme="minorHAnsi" w:cstheme="minorHAnsi"/>
          <w:sz w:val="24"/>
          <w:szCs w:val="24"/>
        </w:rPr>
        <w:t xml:space="preserve"> </w:t>
      </w:r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Institut za </w:t>
      </w:r>
      <w:proofErr w:type="spellStart"/>
      <w:r w:rsidRPr="00C22BE1">
        <w:rPr>
          <w:rFonts w:asciiTheme="minorHAnsi" w:hAnsiTheme="minorHAnsi" w:cstheme="minorHAnsi"/>
          <w:sz w:val="24"/>
          <w:szCs w:val="24"/>
          <w:lang w:val="fr-CA"/>
        </w:rPr>
        <w:t>istraživanje</w:t>
      </w:r>
      <w:proofErr w:type="spellEnd"/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C22BE1">
        <w:rPr>
          <w:rFonts w:asciiTheme="minorHAnsi" w:hAnsiTheme="minorHAnsi" w:cstheme="minorHAnsi"/>
          <w:sz w:val="24"/>
          <w:szCs w:val="24"/>
          <w:lang w:val="fr-CA"/>
        </w:rPr>
        <w:t>, Kanada</w:t>
      </w:r>
    </w:p>
    <w:p w:rsidR="00C22BE1" w:rsidRPr="00C22BE1" w:rsidRDefault="00C22BE1" w:rsidP="00C22BE1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  <w:lang w:val="fr-CA"/>
        </w:rPr>
        <w:t>Međunarodni</w:t>
      </w:r>
      <w:proofErr w:type="spellEnd"/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  <w:lang w:val="fr-CA"/>
        </w:rPr>
        <w:t>krivični</w:t>
      </w:r>
      <w:proofErr w:type="spellEnd"/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 tribunal za </w:t>
      </w:r>
      <w:proofErr w:type="spellStart"/>
      <w:r w:rsidRPr="00C22BE1">
        <w:rPr>
          <w:rFonts w:asciiTheme="minorHAnsi" w:hAnsiTheme="minorHAnsi" w:cstheme="minorHAnsi"/>
          <w:sz w:val="24"/>
          <w:szCs w:val="24"/>
          <w:lang w:val="fr-CA"/>
        </w:rPr>
        <w:t>područije</w:t>
      </w:r>
      <w:proofErr w:type="spellEnd"/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  <w:lang w:val="fr-CA"/>
        </w:rPr>
        <w:t>bivše</w:t>
      </w:r>
      <w:proofErr w:type="spellEnd"/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  <w:lang w:val="fr-CA"/>
        </w:rPr>
        <w:t>Jugoslavije</w:t>
      </w:r>
      <w:proofErr w:type="spellEnd"/>
    </w:p>
    <w:p w:rsidR="00C22BE1" w:rsidRPr="00C22BE1" w:rsidRDefault="00C22BE1" w:rsidP="00C22BE1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 w:rsidRPr="00C22BE1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Međunarodni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sud</w:t>
      </w:r>
      <w:proofErr w:type="spellEnd"/>
      <w:r w:rsidRPr="00C22B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2BE1">
        <w:rPr>
          <w:rFonts w:asciiTheme="minorHAnsi" w:hAnsiTheme="minorHAnsi" w:cstheme="minorHAnsi"/>
          <w:sz w:val="24"/>
          <w:szCs w:val="24"/>
        </w:rPr>
        <w:t>pravde</w:t>
      </w:r>
      <w:proofErr w:type="spellEnd"/>
    </w:p>
    <w:p w:rsidR="00E51741" w:rsidRPr="0077218C" w:rsidRDefault="00E51741" w:rsidP="0077218C">
      <w:pPr>
        <w:jc w:val="left"/>
        <w:rPr>
          <w:rFonts w:ascii="Times New Roman" w:hAnsi="Times New Roman"/>
          <w:sz w:val="44"/>
          <w:szCs w:val="44"/>
          <w:lang w:val="it-IT"/>
        </w:rPr>
      </w:pPr>
    </w:p>
    <w:sectPr w:rsidR="00E51741" w:rsidRPr="0077218C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D6" w:rsidRDefault="00E632D6" w:rsidP="00B93EEF">
      <w:r>
        <w:separator/>
      </w:r>
    </w:p>
  </w:endnote>
  <w:endnote w:type="continuationSeparator" w:id="0">
    <w:p w:rsidR="00E632D6" w:rsidRDefault="00E632D6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BLDIC M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CC41AF" w:rsidRDefault="00E51741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 xml:space="preserve"> 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E51741" w:rsidRPr="005250F3" w:rsidRDefault="00E51741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D6" w:rsidRDefault="00E632D6" w:rsidP="00B93EEF">
      <w:r>
        <w:separator/>
      </w:r>
    </w:p>
  </w:footnote>
  <w:footnote w:type="continuationSeparator" w:id="0">
    <w:p w:rsidR="00E632D6" w:rsidRDefault="00E632D6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601E8F" w:rsidRDefault="00E51741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6C49DF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4805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42237"/>
    <w:multiLevelType w:val="hybridMultilevel"/>
    <w:tmpl w:val="86B201BE"/>
    <w:lvl w:ilvl="0" w:tplc="FAE85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94BED"/>
    <w:multiLevelType w:val="hybridMultilevel"/>
    <w:tmpl w:val="00A61A34"/>
    <w:lvl w:ilvl="0" w:tplc="099CF602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C2E1B"/>
    <w:multiLevelType w:val="hybridMultilevel"/>
    <w:tmpl w:val="5B0072C8"/>
    <w:lvl w:ilvl="0" w:tplc="A98E3D84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A20E6D5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15BCA"/>
    <w:multiLevelType w:val="hybridMultilevel"/>
    <w:tmpl w:val="5EB0E0F4"/>
    <w:lvl w:ilvl="0" w:tplc="1CFE895C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D1BD5"/>
    <w:multiLevelType w:val="hybridMultilevel"/>
    <w:tmpl w:val="5C7207E8"/>
    <w:lvl w:ilvl="0" w:tplc="9A787446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394C986E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A0362"/>
    <w:multiLevelType w:val="hybridMultilevel"/>
    <w:tmpl w:val="86EA3674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850A4BB4">
      <w:start w:val="1"/>
      <w:numFmt w:val="bullet"/>
      <w:lvlText w:val="-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148E6"/>
    <w:multiLevelType w:val="hybridMultilevel"/>
    <w:tmpl w:val="E05A8E56"/>
    <w:lvl w:ilvl="0" w:tplc="6414C34E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1501D"/>
    <w:multiLevelType w:val="hybridMultilevel"/>
    <w:tmpl w:val="4F3ACB3E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95905538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43AB7"/>
    <w:rsid w:val="000727A0"/>
    <w:rsid w:val="000912F9"/>
    <w:rsid w:val="000C6299"/>
    <w:rsid w:val="000C6A02"/>
    <w:rsid w:val="000D3AED"/>
    <w:rsid w:val="000E2F99"/>
    <w:rsid w:val="00122C98"/>
    <w:rsid w:val="001719F5"/>
    <w:rsid w:val="00175402"/>
    <w:rsid w:val="00184728"/>
    <w:rsid w:val="0018660D"/>
    <w:rsid w:val="001A0AF2"/>
    <w:rsid w:val="001A3D64"/>
    <w:rsid w:val="001C535B"/>
    <w:rsid w:val="001D2C5E"/>
    <w:rsid w:val="001D6183"/>
    <w:rsid w:val="001F11D1"/>
    <w:rsid w:val="00211C37"/>
    <w:rsid w:val="00222125"/>
    <w:rsid w:val="002363E9"/>
    <w:rsid w:val="00250FCC"/>
    <w:rsid w:val="00283DBA"/>
    <w:rsid w:val="00292ADE"/>
    <w:rsid w:val="002A0189"/>
    <w:rsid w:val="002B4968"/>
    <w:rsid w:val="002C2B7C"/>
    <w:rsid w:val="002D2597"/>
    <w:rsid w:val="002D5187"/>
    <w:rsid w:val="00301DAE"/>
    <w:rsid w:val="00310952"/>
    <w:rsid w:val="00314F89"/>
    <w:rsid w:val="00326AD5"/>
    <w:rsid w:val="00334103"/>
    <w:rsid w:val="003A2C2E"/>
    <w:rsid w:val="003A5C83"/>
    <w:rsid w:val="003C443C"/>
    <w:rsid w:val="003C6F25"/>
    <w:rsid w:val="003D4920"/>
    <w:rsid w:val="003E791B"/>
    <w:rsid w:val="00404451"/>
    <w:rsid w:val="00421CEC"/>
    <w:rsid w:val="00470C59"/>
    <w:rsid w:val="00475E7D"/>
    <w:rsid w:val="0048750D"/>
    <w:rsid w:val="004A1DBD"/>
    <w:rsid w:val="004C2C25"/>
    <w:rsid w:val="004D1D29"/>
    <w:rsid w:val="004F01D5"/>
    <w:rsid w:val="005250F3"/>
    <w:rsid w:val="005448A5"/>
    <w:rsid w:val="0055296A"/>
    <w:rsid w:val="00576B82"/>
    <w:rsid w:val="0059038A"/>
    <w:rsid w:val="005A68A0"/>
    <w:rsid w:val="005C5FA0"/>
    <w:rsid w:val="00601E8F"/>
    <w:rsid w:val="00613E61"/>
    <w:rsid w:val="00621A17"/>
    <w:rsid w:val="00642FBF"/>
    <w:rsid w:val="00671007"/>
    <w:rsid w:val="006714F9"/>
    <w:rsid w:val="006733A6"/>
    <w:rsid w:val="0068175C"/>
    <w:rsid w:val="0068369F"/>
    <w:rsid w:val="006939C2"/>
    <w:rsid w:val="006C30A5"/>
    <w:rsid w:val="006C3E04"/>
    <w:rsid w:val="006C49DF"/>
    <w:rsid w:val="006D0A7C"/>
    <w:rsid w:val="00704E3F"/>
    <w:rsid w:val="00705189"/>
    <w:rsid w:val="007200A8"/>
    <w:rsid w:val="00762521"/>
    <w:rsid w:val="00764994"/>
    <w:rsid w:val="0077218C"/>
    <w:rsid w:val="0079781C"/>
    <w:rsid w:val="007A0184"/>
    <w:rsid w:val="007C6FE2"/>
    <w:rsid w:val="007C70B4"/>
    <w:rsid w:val="007D6C9F"/>
    <w:rsid w:val="007D75D8"/>
    <w:rsid w:val="008004CD"/>
    <w:rsid w:val="0080179A"/>
    <w:rsid w:val="0083679F"/>
    <w:rsid w:val="0084357A"/>
    <w:rsid w:val="00846908"/>
    <w:rsid w:val="00895548"/>
    <w:rsid w:val="008D53E9"/>
    <w:rsid w:val="008E765A"/>
    <w:rsid w:val="0090176A"/>
    <w:rsid w:val="009141E9"/>
    <w:rsid w:val="00930249"/>
    <w:rsid w:val="00940ABC"/>
    <w:rsid w:val="00950B95"/>
    <w:rsid w:val="00952715"/>
    <w:rsid w:val="00993C5A"/>
    <w:rsid w:val="009A3A07"/>
    <w:rsid w:val="009B769C"/>
    <w:rsid w:val="009C6484"/>
    <w:rsid w:val="009D3D37"/>
    <w:rsid w:val="009E0CC2"/>
    <w:rsid w:val="00A120C4"/>
    <w:rsid w:val="00A12E2B"/>
    <w:rsid w:val="00A167EE"/>
    <w:rsid w:val="00A31044"/>
    <w:rsid w:val="00A409FF"/>
    <w:rsid w:val="00A73EE8"/>
    <w:rsid w:val="00A91FFE"/>
    <w:rsid w:val="00AC3ECF"/>
    <w:rsid w:val="00AF1BA8"/>
    <w:rsid w:val="00B12173"/>
    <w:rsid w:val="00B21CF8"/>
    <w:rsid w:val="00B44693"/>
    <w:rsid w:val="00B5100C"/>
    <w:rsid w:val="00B526ED"/>
    <w:rsid w:val="00B67E6F"/>
    <w:rsid w:val="00B92155"/>
    <w:rsid w:val="00B93EEF"/>
    <w:rsid w:val="00BB27A4"/>
    <w:rsid w:val="00C16DA2"/>
    <w:rsid w:val="00C22BE1"/>
    <w:rsid w:val="00C47026"/>
    <w:rsid w:val="00C556F7"/>
    <w:rsid w:val="00C608A0"/>
    <w:rsid w:val="00C67DA7"/>
    <w:rsid w:val="00C8215B"/>
    <w:rsid w:val="00C82981"/>
    <w:rsid w:val="00CC41AF"/>
    <w:rsid w:val="00CD0007"/>
    <w:rsid w:val="00CD6EEE"/>
    <w:rsid w:val="00CD7491"/>
    <w:rsid w:val="00CE570C"/>
    <w:rsid w:val="00CF2878"/>
    <w:rsid w:val="00D23EE1"/>
    <w:rsid w:val="00D35982"/>
    <w:rsid w:val="00D417F2"/>
    <w:rsid w:val="00D80AA2"/>
    <w:rsid w:val="00D82A8D"/>
    <w:rsid w:val="00D9693E"/>
    <w:rsid w:val="00DA2580"/>
    <w:rsid w:val="00DB4862"/>
    <w:rsid w:val="00DB6DCC"/>
    <w:rsid w:val="00DD3C2D"/>
    <w:rsid w:val="00DE3E24"/>
    <w:rsid w:val="00DE5CB3"/>
    <w:rsid w:val="00E33300"/>
    <w:rsid w:val="00E36FCB"/>
    <w:rsid w:val="00E51741"/>
    <w:rsid w:val="00E54A67"/>
    <w:rsid w:val="00E632D6"/>
    <w:rsid w:val="00E64793"/>
    <w:rsid w:val="00E64AC2"/>
    <w:rsid w:val="00E71B55"/>
    <w:rsid w:val="00E85750"/>
    <w:rsid w:val="00E903D8"/>
    <w:rsid w:val="00E94A47"/>
    <w:rsid w:val="00E96EBC"/>
    <w:rsid w:val="00EA3F86"/>
    <w:rsid w:val="00EC6EDC"/>
    <w:rsid w:val="00F05F0A"/>
    <w:rsid w:val="00F1529B"/>
    <w:rsid w:val="00F31BED"/>
    <w:rsid w:val="00F35854"/>
    <w:rsid w:val="00F52843"/>
    <w:rsid w:val="00F62085"/>
    <w:rsid w:val="00F67DEE"/>
    <w:rsid w:val="00F71EA0"/>
    <w:rsid w:val="00FA3D4E"/>
    <w:rsid w:val="00FA6611"/>
    <w:rsid w:val="00FC5714"/>
    <w:rsid w:val="00FD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34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E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26ED"/>
    <w:pPr>
      <w:jc w:val="left"/>
    </w:pPr>
    <w:rPr>
      <w:rFonts w:eastAsia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ED"/>
    <w:rPr>
      <w:rFonts w:eastAsia="Calibri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526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580"/>
    <w:pPr>
      <w:spacing w:line="360" w:lineRule="auto"/>
      <w:ind w:firstLine="720"/>
      <w:jc w:val="both"/>
    </w:pPr>
    <w:rPr>
      <w:rFonts w:ascii="Times New Roman BH" w:hAnsi="Times New Roman BH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80"/>
    <w:rPr>
      <w:rFonts w:ascii="Times New Roman BH" w:hAnsi="Times New Roman BH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A2580"/>
    <w:rPr>
      <w:vertAlign w:val="superscript"/>
    </w:rPr>
  </w:style>
  <w:style w:type="paragraph" w:customStyle="1" w:styleId="Default">
    <w:name w:val="Default"/>
    <w:uiPriority w:val="99"/>
    <w:semiHidden/>
    <w:rsid w:val="00FD7D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paragraph" w:customStyle="1" w:styleId="CM6">
    <w:name w:val="CM6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333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3">
    <w:name w:val="CM3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line="300" w:lineRule="atLeast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8">
    <w:name w:val="CM8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445"/>
      <w:jc w:val="left"/>
    </w:pPr>
    <w:rPr>
      <w:rFonts w:ascii="BLDIC M+ Times New Roman PSMT" w:hAnsi="BLDIC M+ Times New Roman 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62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2158</Words>
  <Characters>12303</Characters>
  <Application>Microsoft Office Word</Application>
  <DocSecurity>0</DocSecurity>
  <Lines>102</Lines>
  <Paragraphs>28</Paragraphs>
  <ScaleCrop>false</ScaleCrop>
  <Company>Grizli777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6</cp:revision>
  <dcterms:created xsi:type="dcterms:W3CDTF">2015-06-25T16:41:00Z</dcterms:created>
  <dcterms:modified xsi:type="dcterms:W3CDTF">2015-07-05T16:36:00Z</dcterms:modified>
</cp:coreProperties>
</file>